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36093" w14:textId="0D24531F" w:rsidR="00E6033A" w:rsidRDefault="00BF1006">
      <w:pPr>
        <w:spacing w:after="350" w:line="259" w:lineRule="auto"/>
        <w:ind w:left="0" w:firstLine="0"/>
      </w:pPr>
      <w:r>
        <w:rPr>
          <w:b/>
          <w:noProof/>
          <w:sz w:val="26"/>
        </w:rPr>
        <mc:AlternateContent>
          <mc:Choice Requires="wps">
            <w:drawing>
              <wp:anchor distT="0" distB="0" distL="114300" distR="114300" simplePos="0" relativeHeight="251659264" behindDoc="0" locked="0" layoutInCell="1" allowOverlap="1" wp14:anchorId="45958DC0" wp14:editId="0A7D1180">
                <wp:simplePos x="0" y="0"/>
                <wp:positionH relativeFrom="column">
                  <wp:posOffset>0</wp:posOffset>
                </wp:positionH>
                <wp:positionV relativeFrom="paragraph">
                  <wp:posOffset>228600</wp:posOffset>
                </wp:positionV>
                <wp:extent cx="5562600" cy="8286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62600" cy="828675"/>
                        </a:xfrm>
                        <a:prstGeom prst="rect">
                          <a:avLst/>
                        </a:prstGeom>
                        <a:solidFill>
                          <a:sysClr val="window" lastClr="FFFFFF"/>
                        </a:solidFill>
                        <a:ln w="6350">
                          <a:noFill/>
                        </a:ln>
                        <a:effectLst/>
                      </wps:spPr>
                      <wps:txbx>
                        <w:txbxContent>
                          <w:p w14:paraId="18C0D743" w14:textId="77777777" w:rsidR="00BF1006" w:rsidRPr="00847C1B" w:rsidRDefault="00BF1006" w:rsidP="00BF1006">
                            <w:pPr>
                              <w:jc w:val="center"/>
                              <w:rPr>
                                <w:color w:val="962580"/>
                                <w:sz w:val="72"/>
                                <w:szCs w:val="72"/>
                              </w:rPr>
                            </w:pPr>
                            <w:r w:rsidRPr="00847C1B">
                              <w:rPr>
                                <w:color w:val="962580"/>
                                <w:sz w:val="72"/>
                                <w:szCs w:val="72"/>
                              </w:rPr>
                              <w:t>Two Bridges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958DC0" id="_x0000_t202" coordsize="21600,21600" o:spt="202" path="m,l,21600r21600,l21600,xe">
                <v:stroke joinstyle="miter"/>
                <v:path gradientshapeok="t" o:connecttype="rect"/>
              </v:shapetype>
              <v:shape id="Text Box 2" o:spid="_x0000_s1026" type="#_x0000_t202" style="position:absolute;margin-left:0;margin-top:18pt;width:438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" fillcolor="window" stroked="f" strokeweight=".5pt">
                <v:textbox>
                  <w:txbxContent>
                    <w:p w14:paraId="18C0D743" w14:textId="77777777" w:rsidR="00BF1006" w:rsidRPr="00847C1B" w:rsidRDefault="00BF1006" w:rsidP="00BF1006">
                      <w:pPr>
                        <w:jc w:val="center"/>
                        <w:rPr>
                          <w:color w:val="962580"/>
                          <w:sz w:val="72"/>
                          <w:szCs w:val="72"/>
                        </w:rPr>
                      </w:pPr>
                      <w:r w:rsidRPr="00847C1B">
                        <w:rPr>
                          <w:color w:val="962580"/>
                          <w:sz w:val="72"/>
                          <w:szCs w:val="72"/>
                        </w:rPr>
                        <w:t>Two Bridges School</w:t>
                      </w:r>
                    </w:p>
                  </w:txbxContent>
                </v:textbox>
              </v:shape>
            </w:pict>
          </mc:Fallback>
        </mc:AlternateContent>
      </w:r>
      <w:r>
        <w:rPr>
          <w:b/>
          <w:noProof/>
          <w:sz w:val="26"/>
        </w:rPr>
        <w:drawing>
          <wp:anchor distT="0" distB="0" distL="114300" distR="114300" simplePos="0" relativeHeight="251660288" behindDoc="0" locked="0" layoutInCell="1" allowOverlap="1" wp14:anchorId="63F6BAD2" wp14:editId="7B151C76">
            <wp:simplePos x="0" y="0"/>
            <wp:positionH relativeFrom="margin">
              <wp:posOffset>5486400</wp:posOffset>
            </wp:positionH>
            <wp:positionV relativeFrom="paragraph">
              <wp:posOffset>0</wp:posOffset>
            </wp:positionV>
            <wp:extent cx="1440180" cy="1180465"/>
            <wp:effectExtent l="0" t="0" r="762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0180" cy="11804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C2247F" w14:textId="77777777" w:rsidR="00BF1006" w:rsidRDefault="00BF1006">
      <w:pPr>
        <w:spacing w:after="50" w:line="233" w:lineRule="auto"/>
        <w:ind w:left="165" w:right="158" w:firstLine="0"/>
        <w:jc w:val="center"/>
        <w:rPr>
          <w:rFonts w:ascii="Calibri" w:eastAsia="Calibri" w:hAnsi="Calibri" w:cs="Calibri"/>
          <w:b/>
          <w:sz w:val="48"/>
        </w:rPr>
      </w:pPr>
    </w:p>
    <w:p w14:paraId="3EABBD7C" w14:textId="77777777" w:rsidR="00BF1006" w:rsidRDefault="00BF1006">
      <w:pPr>
        <w:spacing w:after="50" w:line="233" w:lineRule="auto"/>
        <w:ind w:left="165" w:right="158" w:firstLine="0"/>
        <w:jc w:val="center"/>
        <w:rPr>
          <w:rFonts w:ascii="Calibri" w:eastAsia="Calibri" w:hAnsi="Calibri" w:cs="Calibri"/>
          <w:b/>
          <w:sz w:val="48"/>
        </w:rPr>
      </w:pPr>
    </w:p>
    <w:p w14:paraId="20FDE045" w14:textId="55E1DE12" w:rsidR="00BF1006" w:rsidRDefault="00BF1006">
      <w:pPr>
        <w:spacing w:after="50" w:line="233" w:lineRule="auto"/>
        <w:ind w:left="165" w:right="158" w:firstLine="0"/>
        <w:jc w:val="center"/>
        <w:rPr>
          <w:rFonts w:ascii="Calibri" w:eastAsia="Calibri" w:hAnsi="Calibri" w:cs="Calibri"/>
          <w:b/>
          <w:sz w:val="48"/>
        </w:rPr>
      </w:pPr>
    </w:p>
    <w:p w14:paraId="55114F13" w14:textId="14137362" w:rsidR="00BF1006" w:rsidRDefault="00BF1006">
      <w:pPr>
        <w:spacing w:after="50" w:line="233" w:lineRule="auto"/>
        <w:ind w:left="165" w:right="158" w:firstLine="0"/>
        <w:jc w:val="center"/>
        <w:rPr>
          <w:rFonts w:ascii="Calibri" w:eastAsia="Calibri" w:hAnsi="Calibri" w:cs="Calibri"/>
          <w:b/>
          <w:sz w:val="48"/>
        </w:rPr>
      </w:pPr>
    </w:p>
    <w:p w14:paraId="6FFDFD27" w14:textId="77777777" w:rsidR="00BF1006" w:rsidRDefault="00BF1006" w:rsidP="00BF1006">
      <w:pPr>
        <w:pBdr>
          <w:top w:val="single" w:sz="4" w:space="1" w:color="auto"/>
          <w:left w:val="single" w:sz="4" w:space="4" w:color="auto"/>
          <w:bottom w:val="single" w:sz="4" w:space="1" w:color="auto"/>
          <w:right w:val="single" w:sz="4" w:space="4" w:color="auto"/>
        </w:pBdr>
        <w:jc w:val="center"/>
        <w:rPr>
          <w:sz w:val="44"/>
          <w:szCs w:val="44"/>
        </w:rPr>
      </w:pPr>
    </w:p>
    <w:p w14:paraId="7DE5AD36" w14:textId="77777777" w:rsidR="00BF1006" w:rsidRDefault="00BF1006" w:rsidP="00BF1006">
      <w:pPr>
        <w:pBdr>
          <w:top w:val="single" w:sz="4" w:space="1" w:color="auto"/>
          <w:left w:val="single" w:sz="4" w:space="4" w:color="auto"/>
          <w:bottom w:val="single" w:sz="4" w:space="1" w:color="auto"/>
          <w:right w:val="single" w:sz="4" w:space="4" w:color="auto"/>
        </w:pBdr>
        <w:jc w:val="center"/>
        <w:rPr>
          <w:sz w:val="44"/>
          <w:szCs w:val="44"/>
        </w:rPr>
      </w:pPr>
    </w:p>
    <w:p w14:paraId="6F32EE1F" w14:textId="77777777" w:rsidR="00BF1006" w:rsidRDefault="00BF1006" w:rsidP="00BF1006">
      <w:pPr>
        <w:pBdr>
          <w:top w:val="single" w:sz="4" w:space="1" w:color="auto"/>
          <w:left w:val="single" w:sz="4" w:space="4" w:color="auto"/>
          <w:bottom w:val="single" w:sz="4" w:space="1" w:color="auto"/>
          <w:right w:val="single" w:sz="4" w:space="4" w:color="auto"/>
        </w:pBdr>
        <w:jc w:val="center"/>
        <w:rPr>
          <w:sz w:val="44"/>
          <w:szCs w:val="44"/>
        </w:rPr>
      </w:pPr>
    </w:p>
    <w:p w14:paraId="0FE5FEB2" w14:textId="77777777" w:rsidR="00BF1006" w:rsidRDefault="00BF1006" w:rsidP="00BF1006">
      <w:pPr>
        <w:pBdr>
          <w:top w:val="single" w:sz="4" w:space="1" w:color="auto"/>
          <w:left w:val="single" w:sz="4" w:space="4" w:color="auto"/>
          <w:bottom w:val="single" w:sz="4" w:space="1" w:color="auto"/>
          <w:right w:val="single" w:sz="4" w:space="4" w:color="auto"/>
        </w:pBdr>
        <w:jc w:val="center"/>
        <w:rPr>
          <w:sz w:val="44"/>
          <w:szCs w:val="44"/>
        </w:rPr>
      </w:pPr>
    </w:p>
    <w:p w14:paraId="0568A7A4" w14:textId="286157BF" w:rsidR="00BF1006" w:rsidRDefault="00BF1006" w:rsidP="00BF1006">
      <w:pPr>
        <w:pBdr>
          <w:top w:val="single" w:sz="4" w:space="1" w:color="auto"/>
          <w:left w:val="single" w:sz="4" w:space="4" w:color="auto"/>
          <w:bottom w:val="single" w:sz="4" w:space="1" w:color="auto"/>
          <w:right w:val="single" w:sz="4" w:space="4" w:color="auto"/>
        </w:pBdr>
        <w:jc w:val="center"/>
        <w:rPr>
          <w:sz w:val="44"/>
          <w:szCs w:val="44"/>
        </w:rPr>
      </w:pPr>
      <w:r>
        <w:rPr>
          <w:sz w:val="44"/>
          <w:szCs w:val="44"/>
        </w:rPr>
        <w:t>Special Educational Needs Policy</w:t>
      </w:r>
    </w:p>
    <w:p w14:paraId="1AF4022B" w14:textId="77777777" w:rsidR="00BF1006" w:rsidRDefault="00BF1006" w:rsidP="00BF1006">
      <w:pPr>
        <w:pBdr>
          <w:top w:val="single" w:sz="4" w:space="1" w:color="auto"/>
          <w:left w:val="single" w:sz="4" w:space="4" w:color="auto"/>
          <w:bottom w:val="single" w:sz="4" w:space="1" w:color="auto"/>
          <w:right w:val="single" w:sz="4" w:space="4" w:color="auto"/>
        </w:pBdr>
        <w:jc w:val="center"/>
        <w:rPr>
          <w:sz w:val="44"/>
          <w:szCs w:val="44"/>
        </w:rPr>
      </w:pPr>
    </w:p>
    <w:p w14:paraId="1E03D8F5" w14:textId="77777777" w:rsidR="00BF1006" w:rsidRDefault="00BF1006" w:rsidP="00BF1006">
      <w:pPr>
        <w:pBdr>
          <w:top w:val="single" w:sz="4" w:space="1" w:color="auto"/>
          <w:left w:val="single" w:sz="4" w:space="4" w:color="auto"/>
          <w:bottom w:val="single" w:sz="4" w:space="1" w:color="auto"/>
          <w:right w:val="single" w:sz="4" w:space="4" w:color="auto"/>
        </w:pBdr>
        <w:jc w:val="center"/>
        <w:rPr>
          <w:sz w:val="44"/>
          <w:szCs w:val="44"/>
        </w:rPr>
      </w:pPr>
    </w:p>
    <w:p w14:paraId="14A6DE5D" w14:textId="77777777" w:rsidR="00BF1006" w:rsidRDefault="00BF1006" w:rsidP="00BF1006">
      <w:pPr>
        <w:pBdr>
          <w:top w:val="single" w:sz="4" w:space="1" w:color="auto"/>
          <w:left w:val="single" w:sz="4" w:space="4" w:color="auto"/>
          <w:bottom w:val="single" w:sz="4" w:space="1" w:color="auto"/>
          <w:right w:val="single" w:sz="4" w:space="4" w:color="auto"/>
        </w:pBdr>
        <w:jc w:val="center"/>
        <w:rPr>
          <w:sz w:val="44"/>
          <w:szCs w:val="44"/>
        </w:rPr>
      </w:pPr>
    </w:p>
    <w:p w14:paraId="60AD4177" w14:textId="77777777" w:rsidR="00BF1006" w:rsidRDefault="00BF1006" w:rsidP="00BF1006">
      <w:pPr>
        <w:pBdr>
          <w:top w:val="single" w:sz="4" w:space="1" w:color="auto"/>
          <w:left w:val="single" w:sz="4" w:space="4" w:color="auto"/>
          <w:bottom w:val="single" w:sz="4" w:space="1" w:color="auto"/>
          <w:right w:val="single" w:sz="4" w:space="4" w:color="auto"/>
        </w:pBdr>
        <w:jc w:val="center"/>
        <w:rPr>
          <w:sz w:val="44"/>
          <w:szCs w:val="44"/>
        </w:rPr>
      </w:pPr>
    </w:p>
    <w:p w14:paraId="71B56E75" w14:textId="77777777" w:rsidR="00BF1006" w:rsidRDefault="00BF1006" w:rsidP="00BF1006">
      <w:pPr>
        <w:pBdr>
          <w:top w:val="single" w:sz="4" w:space="1" w:color="auto"/>
          <w:left w:val="single" w:sz="4" w:space="4" w:color="auto"/>
          <w:bottom w:val="single" w:sz="4" w:space="1" w:color="auto"/>
          <w:right w:val="single" w:sz="4" w:space="4" w:color="auto"/>
        </w:pBdr>
        <w:jc w:val="center"/>
        <w:rPr>
          <w:sz w:val="44"/>
          <w:szCs w:val="44"/>
        </w:rPr>
      </w:pPr>
    </w:p>
    <w:p w14:paraId="585B84D9" w14:textId="7E4ED362" w:rsidR="00BF1006" w:rsidRDefault="00BF1006" w:rsidP="00BF1006">
      <w:pPr>
        <w:pBdr>
          <w:top w:val="single" w:sz="4" w:space="1" w:color="auto"/>
          <w:left w:val="single" w:sz="4" w:space="4" w:color="auto"/>
          <w:bottom w:val="single" w:sz="4" w:space="1" w:color="auto"/>
          <w:right w:val="single" w:sz="4" w:space="4" w:color="auto"/>
        </w:pBdr>
        <w:rPr>
          <w:sz w:val="40"/>
          <w:szCs w:val="40"/>
        </w:rPr>
      </w:pPr>
      <w:r>
        <w:rPr>
          <w:sz w:val="40"/>
          <w:szCs w:val="40"/>
        </w:rPr>
        <w:t>Written by</w:t>
      </w:r>
      <w:r>
        <w:rPr>
          <w:sz w:val="40"/>
          <w:szCs w:val="40"/>
        </w:rPr>
        <w:tab/>
        <w:t xml:space="preserve">:  </w:t>
      </w:r>
      <w:r w:rsidR="00133DA7">
        <w:rPr>
          <w:sz w:val="40"/>
          <w:szCs w:val="40"/>
        </w:rPr>
        <w:t>Kate Middleton</w:t>
      </w:r>
    </w:p>
    <w:p w14:paraId="4A046CE5" w14:textId="7496D6F8" w:rsidR="00BF1006" w:rsidRDefault="00BF1006" w:rsidP="00BF1006">
      <w:pPr>
        <w:pBdr>
          <w:top w:val="single" w:sz="4" w:space="1" w:color="auto"/>
          <w:left w:val="single" w:sz="4" w:space="4" w:color="auto"/>
          <w:bottom w:val="single" w:sz="4" w:space="1" w:color="auto"/>
          <w:right w:val="single" w:sz="4" w:space="4" w:color="auto"/>
        </w:pBdr>
        <w:rPr>
          <w:sz w:val="40"/>
          <w:szCs w:val="40"/>
        </w:rPr>
      </w:pPr>
      <w:r>
        <w:rPr>
          <w:sz w:val="40"/>
          <w:szCs w:val="40"/>
        </w:rPr>
        <w:t>Date</w:t>
      </w:r>
      <w:r>
        <w:rPr>
          <w:sz w:val="40"/>
          <w:szCs w:val="40"/>
        </w:rPr>
        <w:tab/>
      </w:r>
      <w:r>
        <w:rPr>
          <w:sz w:val="40"/>
          <w:szCs w:val="40"/>
        </w:rPr>
        <w:tab/>
        <w:t xml:space="preserve">:  </w:t>
      </w:r>
      <w:r w:rsidR="00133DA7">
        <w:rPr>
          <w:sz w:val="40"/>
          <w:szCs w:val="40"/>
        </w:rPr>
        <w:t>15/12/2023</w:t>
      </w:r>
    </w:p>
    <w:p w14:paraId="26D274E5" w14:textId="3D56325C" w:rsidR="00BF1006" w:rsidRPr="00B26364" w:rsidRDefault="00BF1006" w:rsidP="00BF1006">
      <w:pPr>
        <w:pBdr>
          <w:top w:val="single" w:sz="4" w:space="1" w:color="auto"/>
          <w:left w:val="single" w:sz="4" w:space="4" w:color="auto"/>
          <w:bottom w:val="single" w:sz="4" w:space="1" w:color="auto"/>
          <w:right w:val="single" w:sz="4" w:space="4" w:color="auto"/>
        </w:pBdr>
        <w:rPr>
          <w:sz w:val="40"/>
          <w:szCs w:val="40"/>
        </w:rPr>
      </w:pPr>
      <w:r>
        <w:rPr>
          <w:sz w:val="40"/>
          <w:szCs w:val="40"/>
        </w:rPr>
        <w:t xml:space="preserve">Review Date: </w:t>
      </w:r>
      <w:r w:rsidR="00133DA7">
        <w:rPr>
          <w:sz w:val="40"/>
          <w:szCs w:val="40"/>
        </w:rPr>
        <w:t>15/12/2024</w:t>
      </w:r>
    </w:p>
    <w:p w14:paraId="72DB37A6" w14:textId="77777777" w:rsidR="00BF1006" w:rsidRDefault="00BF1006" w:rsidP="00BF1006">
      <w:pPr>
        <w:pBdr>
          <w:top w:val="single" w:sz="4" w:space="1" w:color="auto"/>
          <w:left w:val="single" w:sz="4" w:space="4" w:color="auto"/>
          <w:bottom w:val="single" w:sz="4" w:space="1" w:color="auto"/>
          <w:right w:val="single" w:sz="4" w:space="4" w:color="auto"/>
        </w:pBdr>
        <w:jc w:val="center"/>
        <w:rPr>
          <w:b/>
          <w:color w:val="3366FF"/>
          <w:u w:val="single"/>
        </w:rPr>
      </w:pPr>
    </w:p>
    <w:p w14:paraId="493E2428" w14:textId="77777777" w:rsidR="00BF1006" w:rsidRDefault="00BF1006">
      <w:pPr>
        <w:spacing w:after="50" w:line="233" w:lineRule="auto"/>
        <w:ind w:left="165" w:right="158" w:firstLine="0"/>
        <w:jc w:val="center"/>
        <w:rPr>
          <w:rFonts w:ascii="Calibri" w:eastAsia="Calibri" w:hAnsi="Calibri" w:cs="Calibri"/>
          <w:b/>
          <w:sz w:val="48"/>
        </w:rPr>
      </w:pPr>
    </w:p>
    <w:p w14:paraId="1A12BA46" w14:textId="77777777" w:rsidR="00BF1006" w:rsidRDefault="00BF1006">
      <w:pPr>
        <w:pStyle w:val="TOC1"/>
        <w:tabs>
          <w:tab w:val="right" w:pos="10425"/>
        </w:tabs>
        <w:rPr>
          <w:rFonts w:ascii="Open Sans" w:eastAsia="Open Sans" w:hAnsi="Open Sans" w:cs="Open Sans"/>
          <w:b w:val="0"/>
          <w:sz w:val="22"/>
        </w:rPr>
      </w:pPr>
    </w:p>
    <w:p w14:paraId="76F5A21D" w14:textId="77777777" w:rsidR="00BF1006" w:rsidRDefault="00BF1006">
      <w:pPr>
        <w:pStyle w:val="TOC1"/>
        <w:tabs>
          <w:tab w:val="right" w:pos="10425"/>
        </w:tabs>
        <w:rPr>
          <w:rFonts w:ascii="Open Sans" w:eastAsia="Open Sans" w:hAnsi="Open Sans" w:cs="Open Sans"/>
          <w:b w:val="0"/>
          <w:sz w:val="22"/>
        </w:rPr>
      </w:pPr>
    </w:p>
    <w:sdt>
      <w:sdtPr>
        <w:rPr>
          <w:rFonts w:ascii="Open Sans" w:eastAsia="Open Sans" w:hAnsi="Open Sans" w:cs="Open Sans"/>
          <w:b w:val="0"/>
          <w:sz w:val="22"/>
        </w:rPr>
        <w:id w:val="-182675489"/>
        <w:docPartObj>
          <w:docPartGallery w:val="Table of Contents"/>
        </w:docPartObj>
      </w:sdtPr>
      <w:sdtEndPr/>
      <w:sdtContent>
        <w:p w14:paraId="5567C03D" w14:textId="655E8222" w:rsidR="00E6033A" w:rsidRDefault="00F205F6">
          <w:pPr>
            <w:pStyle w:val="TOC1"/>
            <w:tabs>
              <w:tab w:val="right" w:pos="10425"/>
            </w:tabs>
            <w:rPr>
              <w:noProof/>
            </w:rPr>
          </w:pPr>
          <w:r>
            <w:fldChar w:fldCharType="begin"/>
          </w:r>
          <w:r>
            <w:instrText xml:space="preserve"> TOC \o "1-2" \h \z \u </w:instrText>
          </w:r>
          <w:r>
            <w:fldChar w:fldCharType="separate"/>
          </w:r>
          <w:hyperlink w:anchor="_Toc9367">
            <w:r>
              <w:rPr>
                <w:noProof/>
              </w:rPr>
              <w:t>1. Aims</w:t>
            </w:r>
            <w:r>
              <w:rPr>
                <w:noProof/>
              </w:rPr>
              <w:tab/>
            </w:r>
            <w:r>
              <w:rPr>
                <w:noProof/>
              </w:rPr>
              <w:fldChar w:fldCharType="begin"/>
            </w:r>
            <w:r>
              <w:rPr>
                <w:noProof/>
              </w:rPr>
              <w:instrText>PAGEREF _Toc9367 \h</w:instrText>
            </w:r>
            <w:r>
              <w:rPr>
                <w:noProof/>
              </w:rPr>
            </w:r>
            <w:r>
              <w:rPr>
                <w:noProof/>
              </w:rPr>
              <w:fldChar w:fldCharType="separate"/>
            </w:r>
            <w:r w:rsidR="00BF1006">
              <w:rPr>
                <w:noProof/>
              </w:rPr>
              <w:t>2</w:t>
            </w:r>
            <w:r>
              <w:rPr>
                <w:noProof/>
              </w:rPr>
              <w:fldChar w:fldCharType="end"/>
            </w:r>
          </w:hyperlink>
        </w:p>
        <w:p w14:paraId="0846C63F" w14:textId="1FA10BCA" w:rsidR="00E6033A" w:rsidRDefault="00AC4E6F">
          <w:pPr>
            <w:pStyle w:val="TOC1"/>
            <w:tabs>
              <w:tab w:val="right" w:pos="10425"/>
            </w:tabs>
            <w:rPr>
              <w:noProof/>
            </w:rPr>
          </w:pPr>
          <w:hyperlink w:anchor="_Toc9368">
            <w:r w:rsidR="00F205F6">
              <w:rPr>
                <w:noProof/>
              </w:rPr>
              <w:t>2. Legislation and guidance</w:t>
            </w:r>
            <w:r w:rsidR="00F205F6">
              <w:rPr>
                <w:noProof/>
              </w:rPr>
              <w:tab/>
            </w:r>
            <w:r w:rsidR="00F205F6">
              <w:rPr>
                <w:noProof/>
              </w:rPr>
              <w:fldChar w:fldCharType="begin"/>
            </w:r>
            <w:r w:rsidR="00F205F6">
              <w:rPr>
                <w:noProof/>
              </w:rPr>
              <w:instrText>PAGEREF _Toc9368 \h</w:instrText>
            </w:r>
            <w:r w:rsidR="00F205F6">
              <w:rPr>
                <w:noProof/>
              </w:rPr>
            </w:r>
            <w:r w:rsidR="00F205F6">
              <w:rPr>
                <w:noProof/>
              </w:rPr>
              <w:fldChar w:fldCharType="separate"/>
            </w:r>
            <w:r w:rsidR="00BF1006">
              <w:rPr>
                <w:noProof/>
              </w:rPr>
              <w:t>3</w:t>
            </w:r>
            <w:r w:rsidR="00F205F6">
              <w:rPr>
                <w:noProof/>
              </w:rPr>
              <w:fldChar w:fldCharType="end"/>
            </w:r>
          </w:hyperlink>
        </w:p>
        <w:p w14:paraId="1E300973" w14:textId="5F40AE18" w:rsidR="00E6033A" w:rsidRDefault="00AC4E6F">
          <w:pPr>
            <w:pStyle w:val="TOC1"/>
            <w:tabs>
              <w:tab w:val="right" w:pos="10425"/>
            </w:tabs>
            <w:rPr>
              <w:noProof/>
            </w:rPr>
          </w:pPr>
          <w:hyperlink w:anchor="_Toc9369">
            <w:r w:rsidR="00F205F6">
              <w:rPr>
                <w:noProof/>
              </w:rPr>
              <w:t>3. Definitions</w:t>
            </w:r>
            <w:r w:rsidR="00F205F6">
              <w:rPr>
                <w:noProof/>
              </w:rPr>
              <w:tab/>
            </w:r>
            <w:r w:rsidR="00F205F6">
              <w:rPr>
                <w:noProof/>
              </w:rPr>
              <w:fldChar w:fldCharType="begin"/>
            </w:r>
            <w:r w:rsidR="00F205F6">
              <w:rPr>
                <w:noProof/>
              </w:rPr>
              <w:instrText>PAGEREF _Toc9369 \h</w:instrText>
            </w:r>
            <w:r w:rsidR="00F205F6">
              <w:rPr>
                <w:noProof/>
              </w:rPr>
            </w:r>
            <w:r w:rsidR="00F205F6">
              <w:rPr>
                <w:noProof/>
              </w:rPr>
              <w:fldChar w:fldCharType="separate"/>
            </w:r>
            <w:r w:rsidR="00BF1006">
              <w:rPr>
                <w:noProof/>
              </w:rPr>
              <w:t>4</w:t>
            </w:r>
            <w:r w:rsidR="00F205F6">
              <w:rPr>
                <w:noProof/>
              </w:rPr>
              <w:fldChar w:fldCharType="end"/>
            </w:r>
          </w:hyperlink>
        </w:p>
        <w:p w14:paraId="33E73AD9" w14:textId="18742576" w:rsidR="00E6033A" w:rsidRDefault="00AC4E6F">
          <w:pPr>
            <w:pStyle w:val="TOC1"/>
            <w:tabs>
              <w:tab w:val="right" w:pos="10425"/>
            </w:tabs>
            <w:rPr>
              <w:noProof/>
            </w:rPr>
          </w:pPr>
          <w:hyperlink w:anchor="_Toc9370">
            <w:r w:rsidR="00F205F6">
              <w:rPr>
                <w:noProof/>
              </w:rPr>
              <w:t>4. Roles and responsibilities</w:t>
            </w:r>
            <w:r w:rsidR="00F205F6">
              <w:rPr>
                <w:noProof/>
              </w:rPr>
              <w:tab/>
            </w:r>
            <w:r w:rsidR="00F205F6">
              <w:rPr>
                <w:noProof/>
              </w:rPr>
              <w:fldChar w:fldCharType="begin"/>
            </w:r>
            <w:r w:rsidR="00F205F6">
              <w:rPr>
                <w:noProof/>
              </w:rPr>
              <w:instrText>PAGEREF _Toc9370 \h</w:instrText>
            </w:r>
            <w:r w:rsidR="00F205F6">
              <w:rPr>
                <w:noProof/>
              </w:rPr>
            </w:r>
            <w:r w:rsidR="00F205F6">
              <w:rPr>
                <w:noProof/>
              </w:rPr>
              <w:fldChar w:fldCharType="separate"/>
            </w:r>
            <w:r w:rsidR="00BF1006">
              <w:rPr>
                <w:noProof/>
              </w:rPr>
              <w:t>4</w:t>
            </w:r>
            <w:r w:rsidR="00F205F6">
              <w:rPr>
                <w:noProof/>
              </w:rPr>
              <w:fldChar w:fldCharType="end"/>
            </w:r>
          </w:hyperlink>
        </w:p>
        <w:p w14:paraId="48C967E7" w14:textId="7C0A2A6A" w:rsidR="00E6033A" w:rsidRDefault="00AC4E6F">
          <w:pPr>
            <w:pStyle w:val="TOC2"/>
            <w:tabs>
              <w:tab w:val="right" w:pos="10425"/>
            </w:tabs>
            <w:rPr>
              <w:noProof/>
            </w:rPr>
          </w:pPr>
          <w:hyperlink w:anchor="_Toc9371">
            <w:r w:rsidR="00F205F6">
              <w:rPr>
                <w:noProof/>
              </w:rPr>
              <w:t>4.1 The SENDCO</w:t>
            </w:r>
            <w:r w:rsidR="00F205F6">
              <w:rPr>
                <w:noProof/>
              </w:rPr>
              <w:tab/>
            </w:r>
            <w:r w:rsidR="00F205F6">
              <w:rPr>
                <w:noProof/>
              </w:rPr>
              <w:fldChar w:fldCharType="begin"/>
            </w:r>
            <w:r w:rsidR="00F205F6">
              <w:rPr>
                <w:noProof/>
              </w:rPr>
              <w:instrText>PAGEREF _Toc9371 \h</w:instrText>
            </w:r>
            <w:r w:rsidR="00F205F6">
              <w:rPr>
                <w:noProof/>
              </w:rPr>
            </w:r>
            <w:r w:rsidR="00F205F6">
              <w:rPr>
                <w:noProof/>
              </w:rPr>
              <w:fldChar w:fldCharType="separate"/>
            </w:r>
            <w:r w:rsidR="00BF1006">
              <w:rPr>
                <w:noProof/>
              </w:rPr>
              <w:t>4</w:t>
            </w:r>
            <w:r w:rsidR="00F205F6">
              <w:rPr>
                <w:noProof/>
              </w:rPr>
              <w:fldChar w:fldCharType="end"/>
            </w:r>
          </w:hyperlink>
        </w:p>
        <w:p w14:paraId="71A3F749" w14:textId="5127D3E8" w:rsidR="00E6033A" w:rsidRDefault="00AC4E6F">
          <w:pPr>
            <w:pStyle w:val="TOC2"/>
            <w:tabs>
              <w:tab w:val="right" w:pos="10425"/>
            </w:tabs>
            <w:rPr>
              <w:noProof/>
            </w:rPr>
          </w:pPr>
          <w:hyperlink w:anchor="_Toc9372">
            <w:r w:rsidR="00F205F6">
              <w:rPr>
                <w:noProof/>
              </w:rPr>
              <w:t xml:space="preserve">4.2 The SEND </w:t>
            </w:r>
            <w:r w:rsidR="00BF1006">
              <w:rPr>
                <w:noProof/>
              </w:rPr>
              <w:t>MC Representative</w:t>
            </w:r>
            <w:r w:rsidR="00F205F6">
              <w:rPr>
                <w:noProof/>
              </w:rPr>
              <w:tab/>
            </w:r>
            <w:r w:rsidR="00F205F6">
              <w:rPr>
                <w:noProof/>
              </w:rPr>
              <w:fldChar w:fldCharType="begin"/>
            </w:r>
            <w:r w:rsidR="00F205F6">
              <w:rPr>
                <w:noProof/>
              </w:rPr>
              <w:instrText>PAGEREF _Toc9372 \h</w:instrText>
            </w:r>
            <w:r w:rsidR="00F205F6">
              <w:rPr>
                <w:noProof/>
              </w:rPr>
            </w:r>
            <w:r w:rsidR="00F205F6">
              <w:rPr>
                <w:noProof/>
              </w:rPr>
              <w:fldChar w:fldCharType="separate"/>
            </w:r>
            <w:r w:rsidR="00BF1006">
              <w:rPr>
                <w:noProof/>
              </w:rPr>
              <w:t>4</w:t>
            </w:r>
            <w:r w:rsidR="00F205F6">
              <w:rPr>
                <w:noProof/>
              </w:rPr>
              <w:fldChar w:fldCharType="end"/>
            </w:r>
          </w:hyperlink>
        </w:p>
        <w:p w14:paraId="3A529AB7" w14:textId="005EC6F5" w:rsidR="00E6033A" w:rsidRDefault="00AC4E6F">
          <w:pPr>
            <w:pStyle w:val="TOC2"/>
            <w:tabs>
              <w:tab w:val="right" w:pos="10425"/>
            </w:tabs>
            <w:rPr>
              <w:noProof/>
            </w:rPr>
          </w:pPr>
          <w:hyperlink w:anchor="_Toc9373">
            <w:r w:rsidR="00F205F6">
              <w:rPr>
                <w:noProof/>
              </w:rPr>
              <w:t xml:space="preserve">4.3 The </w:t>
            </w:r>
            <w:r w:rsidR="008E5C9E">
              <w:rPr>
                <w:noProof/>
              </w:rPr>
              <w:t xml:space="preserve">Interim </w:t>
            </w:r>
            <w:r w:rsidR="00F205F6">
              <w:rPr>
                <w:noProof/>
              </w:rPr>
              <w:t>Headteacher</w:t>
            </w:r>
            <w:r w:rsidR="00F205F6">
              <w:rPr>
                <w:noProof/>
              </w:rPr>
              <w:tab/>
            </w:r>
            <w:r w:rsidR="00F205F6">
              <w:rPr>
                <w:noProof/>
              </w:rPr>
              <w:fldChar w:fldCharType="begin"/>
            </w:r>
            <w:r w:rsidR="00F205F6">
              <w:rPr>
                <w:noProof/>
              </w:rPr>
              <w:instrText>PAGEREF _Toc9373 \h</w:instrText>
            </w:r>
            <w:r w:rsidR="00F205F6">
              <w:rPr>
                <w:noProof/>
              </w:rPr>
            </w:r>
            <w:r w:rsidR="00F205F6">
              <w:rPr>
                <w:noProof/>
              </w:rPr>
              <w:fldChar w:fldCharType="separate"/>
            </w:r>
            <w:r w:rsidR="00BF1006">
              <w:rPr>
                <w:noProof/>
              </w:rPr>
              <w:t>5</w:t>
            </w:r>
            <w:r w:rsidR="00F205F6">
              <w:rPr>
                <w:noProof/>
              </w:rPr>
              <w:fldChar w:fldCharType="end"/>
            </w:r>
          </w:hyperlink>
        </w:p>
        <w:p w14:paraId="4A391AE9" w14:textId="22F5AC3A" w:rsidR="0032756E" w:rsidRDefault="0032756E">
          <w:pPr>
            <w:pStyle w:val="TOC2"/>
            <w:tabs>
              <w:tab w:val="right" w:pos="10425"/>
            </w:tabs>
            <w:rPr>
              <w:noProof/>
            </w:rPr>
          </w:pPr>
          <w:r>
            <w:rPr>
              <w:noProof/>
            </w:rPr>
            <w:t xml:space="preserve">4.4 Subject teachers </w:t>
          </w:r>
          <w:r>
            <w:rPr>
              <w:noProof/>
            </w:rPr>
            <w:tab/>
            <w:t>5</w:t>
          </w:r>
        </w:p>
        <w:p w14:paraId="52849E31" w14:textId="3B1ACE1B" w:rsidR="00E6033A" w:rsidRDefault="00AC4E6F">
          <w:pPr>
            <w:pStyle w:val="TOC1"/>
            <w:tabs>
              <w:tab w:val="right" w:pos="10425"/>
            </w:tabs>
            <w:rPr>
              <w:noProof/>
            </w:rPr>
          </w:pPr>
          <w:hyperlink w:anchor="_Toc9393">
            <w:r w:rsidR="0032756E">
              <w:rPr>
                <w:noProof/>
              </w:rPr>
              <w:t>5</w:t>
            </w:r>
            <w:r w:rsidR="00F205F6">
              <w:rPr>
                <w:noProof/>
              </w:rPr>
              <w:t>. Monitoring arrangements</w:t>
            </w:r>
            <w:r w:rsidR="00F205F6">
              <w:rPr>
                <w:noProof/>
              </w:rPr>
              <w:tab/>
            </w:r>
            <w:r w:rsidR="00FB6AB3">
              <w:rPr>
                <w:noProof/>
              </w:rPr>
              <w:t>5</w:t>
            </w:r>
          </w:hyperlink>
        </w:p>
        <w:p w14:paraId="44B591A5" w14:textId="57BEB196" w:rsidR="00E6033A" w:rsidRDefault="00AC4E6F">
          <w:pPr>
            <w:pStyle w:val="TOC1"/>
            <w:tabs>
              <w:tab w:val="right" w:pos="10425"/>
            </w:tabs>
            <w:rPr>
              <w:noProof/>
            </w:rPr>
          </w:pPr>
          <w:hyperlink w:anchor="_Toc9394">
            <w:r w:rsidR="0032756E">
              <w:rPr>
                <w:noProof/>
              </w:rPr>
              <w:t>6</w:t>
            </w:r>
            <w:r w:rsidR="00F205F6">
              <w:rPr>
                <w:noProof/>
              </w:rPr>
              <w:t>. Links with other policies and documents</w:t>
            </w:r>
            <w:r w:rsidR="00F205F6">
              <w:rPr>
                <w:noProof/>
              </w:rPr>
              <w:tab/>
            </w:r>
            <w:r w:rsidR="00F205F6">
              <w:rPr>
                <w:noProof/>
              </w:rPr>
              <w:fldChar w:fldCharType="begin"/>
            </w:r>
            <w:r w:rsidR="00F205F6">
              <w:rPr>
                <w:noProof/>
              </w:rPr>
              <w:instrText>PAGEREF _Toc9394 \h</w:instrText>
            </w:r>
            <w:r w:rsidR="00F205F6">
              <w:rPr>
                <w:noProof/>
              </w:rPr>
            </w:r>
            <w:r w:rsidR="00F205F6">
              <w:rPr>
                <w:noProof/>
              </w:rPr>
              <w:fldChar w:fldCharType="separate"/>
            </w:r>
            <w:r w:rsidR="00BF1006">
              <w:rPr>
                <w:noProof/>
              </w:rPr>
              <w:t>0</w:t>
            </w:r>
            <w:r w:rsidR="00F205F6">
              <w:rPr>
                <w:noProof/>
              </w:rPr>
              <w:fldChar w:fldCharType="end"/>
            </w:r>
          </w:hyperlink>
          <w:r w:rsidR="00FB6AB3">
            <w:rPr>
              <w:noProof/>
            </w:rPr>
            <w:t>5</w:t>
          </w:r>
        </w:p>
        <w:p w14:paraId="3BCB1624" w14:textId="6F563AEE" w:rsidR="00BF05B2" w:rsidRDefault="00F205F6" w:rsidP="0032756E">
          <w:pPr>
            <w:ind w:left="0" w:firstLine="0"/>
          </w:pPr>
          <w:r>
            <w:fldChar w:fldCharType="end"/>
          </w:r>
        </w:p>
      </w:sdtContent>
    </w:sdt>
    <w:p w14:paraId="3AB79963" w14:textId="77777777" w:rsidR="00E6033A" w:rsidRDefault="00F205F6">
      <w:pPr>
        <w:pStyle w:val="Heading1"/>
        <w:ind w:left="-5"/>
      </w:pPr>
      <w:bookmarkStart w:id="0" w:name="_Toc9367"/>
      <w:r>
        <w:t>1. Aims</w:t>
      </w:r>
      <w:bookmarkEnd w:id="0"/>
    </w:p>
    <w:p w14:paraId="30844195" w14:textId="1C3F1A54" w:rsidR="00E6033A" w:rsidRDefault="00F205F6">
      <w:pPr>
        <w:spacing w:after="182"/>
        <w:ind w:right="13"/>
      </w:pPr>
      <w:r>
        <w:t>Our SEND policy aims to:</w:t>
      </w:r>
    </w:p>
    <w:p w14:paraId="5CD4CA11" w14:textId="77777777" w:rsidR="00E6033A" w:rsidRDefault="00F205F6">
      <w:pPr>
        <w:numPr>
          <w:ilvl w:val="0"/>
          <w:numId w:val="1"/>
        </w:numPr>
        <w:ind w:right="13" w:hanging="345"/>
      </w:pPr>
      <w:r>
        <w:t>Set out how our school will support and make provision for students with special educational needs (SEN)</w:t>
      </w:r>
    </w:p>
    <w:p w14:paraId="6A58DF51" w14:textId="77777777" w:rsidR="00E6033A" w:rsidRDefault="00F205F6">
      <w:pPr>
        <w:numPr>
          <w:ilvl w:val="0"/>
          <w:numId w:val="1"/>
        </w:numPr>
        <w:spacing w:after="181"/>
        <w:ind w:right="13" w:hanging="345"/>
      </w:pPr>
      <w:r>
        <w:t>Explain the roles and responsibilities of everyone involved in providing for students with SEN</w:t>
      </w:r>
    </w:p>
    <w:p w14:paraId="6E7C0AE7" w14:textId="65CA82B3" w:rsidR="00E6033A" w:rsidRDefault="00F205F6">
      <w:pPr>
        <w:spacing w:after="195"/>
        <w:ind w:right="13"/>
      </w:pPr>
      <w:r>
        <w:t xml:space="preserve">At </w:t>
      </w:r>
      <w:r w:rsidR="00BF1006">
        <w:t>Two Bridges</w:t>
      </w:r>
      <w:r>
        <w:t xml:space="preserve"> School, we believe that each student is an individual with unique needs. As a result, some students require more support than others. If these students are to achieve their full potential, we must recognise their needs and plan accordingly. Some of these students may require help throughout their time in school, whilst others may need a little extra support for a short period of time to help them overcome more temporary needs. </w:t>
      </w:r>
      <w:r w:rsidR="00BF1006">
        <w:t>Two Bridges</w:t>
      </w:r>
      <w:r>
        <w:t xml:space="preserve"> School aims to provide all students with strategies for dealing with their needs in a supportive environment and ensure that they all have meaningful access to the curriculum</w:t>
      </w:r>
      <w:r w:rsidR="00BF1006">
        <w:t xml:space="preserve"> and wider SEMH personal development.</w:t>
      </w:r>
    </w:p>
    <w:p w14:paraId="27BB3003" w14:textId="77777777" w:rsidR="00E6033A" w:rsidRDefault="00F205F6">
      <w:pPr>
        <w:spacing w:after="183"/>
        <w:ind w:right="13"/>
      </w:pPr>
      <w:proofErr w:type="gramStart"/>
      <w:r>
        <w:t>In particular, we</w:t>
      </w:r>
      <w:proofErr w:type="gramEnd"/>
      <w:r>
        <w:t xml:space="preserve"> aim to:</w:t>
      </w:r>
    </w:p>
    <w:p w14:paraId="532DB2BD" w14:textId="77777777" w:rsidR="00E6033A" w:rsidRDefault="00F205F6">
      <w:pPr>
        <w:numPr>
          <w:ilvl w:val="0"/>
          <w:numId w:val="1"/>
        </w:numPr>
        <w:ind w:right="13" w:hanging="345"/>
      </w:pPr>
      <w:r>
        <w:t xml:space="preserve">enable every student to experience </w:t>
      </w:r>
      <w:proofErr w:type="gramStart"/>
      <w:r>
        <w:t>success;</w:t>
      </w:r>
      <w:proofErr w:type="gramEnd"/>
    </w:p>
    <w:p w14:paraId="1B2ED9B9" w14:textId="77777777" w:rsidR="00E6033A" w:rsidRDefault="00F205F6">
      <w:pPr>
        <w:numPr>
          <w:ilvl w:val="0"/>
          <w:numId w:val="1"/>
        </w:numPr>
        <w:ind w:right="13" w:hanging="345"/>
      </w:pPr>
      <w:r>
        <w:t xml:space="preserve">promote individual confidence and a positive </w:t>
      </w:r>
      <w:proofErr w:type="gramStart"/>
      <w:r>
        <w:t>attitude;</w:t>
      </w:r>
      <w:proofErr w:type="gramEnd"/>
    </w:p>
    <w:p w14:paraId="6F63589C" w14:textId="77777777" w:rsidR="00E6033A" w:rsidRDefault="00F205F6">
      <w:pPr>
        <w:numPr>
          <w:ilvl w:val="0"/>
          <w:numId w:val="1"/>
        </w:numPr>
        <w:ind w:right="13" w:hanging="345"/>
      </w:pPr>
      <w:r>
        <w:t xml:space="preserve">ensure that all students, whatever their special educational needs, receive appropriate educational provision through a broad and balanced curriculum that is relevant and differentiated, and that demonstrates coherence and progression in </w:t>
      </w:r>
      <w:proofErr w:type="gramStart"/>
      <w:r>
        <w:t>learning;</w:t>
      </w:r>
      <w:proofErr w:type="gramEnd"/>
    </w:p>
    <w:p w14:paraId="514B40AC" w14:textId="77777777" w:rsidR="00E6033A" w:rsidRDefault="00F205F6">
      <w:pPr>
        <w:numPr>
          <w:ilvl w:val="0"/>
          <w:numId w:val="1"/>
        </w:numPr>
        <w:ind w:right="13" w:hanging="345"/>
      </w:pPr>
      <w:r>
        <w:t xml:space="preserve">give students with SEND equal opportunities to take part in all aspects of the school’s provision, as far as is </w:t>
      </w:r>
      <w:proofErr w:type="gramStart"/>
      <w:r>
        <w:t>appropriate;</w:t>
      </w:r>
      <w:proofErr w:type="gramEnd"/>
    </w:p>
    <w:p w14:paraId="4EFCE4D2" w14:textId="77777777" w:rsidR="00E6033A" w:rsidRDefault="00F205F6">
      <w:pPr>
        <w:numPr>
          <w:ilvl w:val="0"/>
          <w:numId w:val="1"/>
        </w:numPr>
        <w:ind w:right="13" w:hanging="345"/>
      </w:pPr>
      <w:r>
        <w:t xml:space="preserve">identify, assess, record and regularly review students’ progress and </w:t>
      </w:r>
      <w:proofErr w:type="gramStart"/>
      <w:r>
        <w:t>needs;</w:t>
      </w:r>
      <w:proofErr w:type="gramEnd"/>
    </w:p>
    <w:p w14:paraId="56E31A10" w14:textId="77777777" w:rsidR="00E6033A" w:rsidRDefault="00F205F6">
      <w:pPr>
        <w:numPr>
          <w:ilvl w:val="0"/>
          <w:numId w:val="1"/>
        </w:numPr>
        <w:ind w:right="13" w:hanging="345"/>
      </w:pPr>
      <w:r>
        <w:t xml:space="preserve">involve parents/carers in planning and supporting all stages of their child’s </w:t>
      </w:r>
      <w:proofErr w:type="gramStart"/>
      <w:r>
        <w:t>development;</w:t>
      </w:r>
      <w:proofErr w:type="gramEnd"/>
    </w:p>
    <w:p w14:paraId="616BC67B" w14:textId="77777777" w:rsidR="00E6033A" w:rsidRDefault="00F205F6">
      <w:pPr>
        <w:numPr>
          <w:ilvl w:val="0"/>
          <w:numId w:val="1"/>
        </w:numPr>
        <w:ind w:right="13" w:hanging="345"/>
      </w:pPr>
      <w:r>
        <w:t xml:space="preserve">work collaboratively with parents, other professionals and support services through the Local </w:t>
      </w:r>
      <w:proofErr w:type="gramStart"/>
      <w:r>
        <w:t>Offer;</w:t>
      </w:r>
      <w:proofErr w:type="gramEnd"/>
    </w:p>
    <w:p w14:paraId="7EAA4162" w14:textId="4DCCCB5A" w:rsidR="00E6033A" w:rsidRDefault="00F205F6">
      <w:pPr>
        <w:numPr>
          <w:ilvl w:val="0"/>
          <w:numId w:val="1"/>
        </w:numPr>
        <w:ind w:right="13" w:hanging="345"/>
      </w:pPr>
      <w:r>
        <w:lastRenderedPageBreak/>
        <w:t xml:space="preserve">deploy the </w:t>
      </w:r>
      <w:r w:rsidR="00BF1006">
        <w:t>support</w:t>
      </w:r>
      <w:r>
        <w:t xml:space="preserve"> </w:t>
      </w:r>
      <w:r w:rsidR="00BF1006">
        <w:t>required</w:t>
      </w:r>
      <w:r>
        <w:t xml:space="preserve"> in an effective </w:t>
      </w:r>
      <w:proofErr w:type="gramStart"/>
      <w:r>
        <w:t>way;</w:t>
      </w:r>
      <w:proofErr w:type="gramEnd"/>
    </w:p>
    <w:p w14:paraId="649B5199" w14:textId="77777777" w:rsidR="00E6033A" w:rsidRDefault="00F205F6">
      <w:pPr>
        <w:numPr>
          <w:ilvl w:val="0"/>
          <w:numId w:val="1"/>
        </w:numPr>
        <w:ind w:right="13" w:hanging="345"/>
      </w:pPr>
      <w:r>
        <w:t>use the SEND Code of Practice as a framework for identification of, and provision for, students with special educational needs; and</w:t>
      </w:r>
    </w:p>
    <w:p w14:paraId="3596444F" w14:textId="3073916B" w:rsidR="00E6033A" w:rsidRDefault="00F205F6">
      <w:pPr>
        <w:numPr>
          <w:ilvl w:val="0"/>
          <w:numId w:val="1"/>
        </w:numPr>
        <w:spacing w:after="195"/>
        <w:ind w:right="13" w:hanging="345"/>
      </w:pPr>
      <w:r>
        <w:t xml:space="preserve">ensure that the responsibility held by all staff and </w:t>
      </w:r>
      <w:r w:rsidR="00BF1006">
        <w:t>management committee members</w:t>
      </w:r>
      <w:r>
        <w:t xml:space="preserve"> for SEND is implemented and maintained.</w:t>
      </w:r>
    </w:p>
    <w:p w14:paraId="60C7497D" w14:textId="2A6EFCEB" w:rsidR="00E6033A" w:rsidRDefault="00F205F6">
      <w:pPr>
        <w:spacing w:after="195"/>
        <w:ind w:right="13"/>
      </w:pPr>
      <w:r>
        <w:t xml:space="preserve">The main objective is to offer a clear, coherent way to provide for the special educational needs of </w:t>
      </w:r>
      <w:r w:rsidR="00BF1006">
        <w:t xml:space="preserve">all students </w:t>
      </w:r>
      <w:r>
        <w:t>in as flexible a way as possible.</w:t>
      </w:r>
    </w:p>
    <w:p w14:paraId="585B227D" w14:textId="641943AF" w:rsidR="00E6033A" w:rsidRDefault="00F205F6">
      <w:pPr>
        <w:spacing w:after="253"/>
        <w:ind w:right="13"/>
      </w:pPr>
      <w:r>
        <w:t xml:space="preserve">It is the responsibility of all staff (teaching and non-teaching) and the </w:t>
      </w:r>
      <w:r w:rsidR="00BF1006">
        <w:t>management committee</w:t>
      </w:r>
      <w:r>
        <w:t xml:space="preserve"> to ensure that the needs of each student are met and that they have full access to participate in the activities of the school community.</w:t>
      </w:r>
    </w:p>
    <w:p w14:paraId="3B470CB2" w14:textId="77777777" w:rsidR="00E6033A" w:rsidRDefault="00F205F6">
      <w:pPr>
        <w:pStyle w:val="Heading1"/>
        <w:ind w:left="-5"/>
      </w:pPr>
      <w:bookmarkStart w:id="1" w:name="_Toc9368"/>
      <w:r>
        <w:t>2. Legislation and guidance</w:t>
      </w:r>
      <w:bookmarkEnd w:id="1"/>
    </w:p>
    <w:p w14:paraId="2FBEE919" w14:textId="77777777" w:rsidR="00E6033A" w:rsidRDefault="00F205F6">
      <w:pPr>
        <w:ind w:right="13"/>
      </w:pPr>
      <w:r>
        <w:t xml:space="preserve">This policy and information report is based on the statutory </w:t>
      </w:r>
      <w:hyperlink r:id="rId8">
        <w:r>
          <w:rPr>
            <w:color w:val="0072CC"/>
            <w:u w:val="single" w:color="0072CC"/>
          </w:rPr>
          <w:t xml:space="preserve">Special Educational Needs and Disability </w:t>
        </w:r>
      </w:hyperlink>
      <w:hyperlink r:id="rId9">
        <w:r>
          <w:rPr>
            <w:color w:val="0072CC"/>
            <w:u w:val="single" w:color="0072CC"/>
          </w:rPr>
          <w:t>(SEND) Code of Practice</w:t>
        </w:r>
      </w:hyperlink>
      <w:r>
        <w:rPr>
          <w:color w:val="0072CC"/>
          <w:u w:val="single" w:color="0072CC"/>
        </w:rPr>
        <w:t xml:space="preserve"> </w:t>
      </w:r>
      <w:r>
        <w:t>and the following legislation:</w:t>
      </w:r>
    </w:p>
    <w:p w14:paraId="4A013527" w14:textId="77777777" w:rsidR="00E6033A" w:rsidRDefault="00AC4E6F">
      <w:pPr>
        <w:numPr>
          <w:ilvl w:val="0"/>
          <w:numId w:val="2"/>
        </w:numPr>
        <w:ind w:right="13" w:hanging="345"/>
      </w:pPr>
      <w:hyperlink r:id="rId10">
        <w:r w:rsidR="00F205F6">
          <w:rPr>
            <w:color w:val="0072CC"/>
            <w:u w:val="single" w:color="0072CC"/>
          </w:rPr>
          <w:t>Part 3 of the Children and Families Act 2014</w:t>
        </w:r>
      </w:hyperlink>
      <w:r w:rsidR="00F205F6">
        <w:t>, which sets out schools’ responsibilities for students with SEN and disabilities</w:t>
      </w:r>
    </w:p>
    <w:p w14:paraId="2B61078A" w14:textId="77777777" w:rsidR="00E6033A" w:rsidRDefault="00AC4E6F">
      <w:pPr>
        <w:numPr>
          <w:ilvl w:val="0"/>
          <w:numId w:val="2"/>
        </w:numPr>
        <w:spacing w:after="253"/>
        <w:ind w:right="13" w:hanging="345"/>
      </w:pPr>
      <w:hyperlink r:id="rId11">
        <w:r w:rsidR="00F205F6">
          <w:t>The Special Educational Needs and Disability Regulations 2014</w:t>
        </w:r>
      </w:hyperlink>
      <w:r w:rsidR="00F205F6">
        <w:t>, which set out schools’ responsibilities for education, health and care (EHC) plans, SEND coordinators (SENDCOs) and the SEND information report.</w:t>
      </w:r>
    </w:p>
    <w:p w14:paraId="446B01F7" w14:textId="77777777" w:rsidR="00E6033A" w:rsidRDefault="00F205F6">
      <w:pPr>
        <w:pStyle w:val="Heading1"/>
        <w:ind w:left="-5"/>
      </w:pPr>
      <w:bookmarkStart w:id="2" w:name="_Toc9369"/>
      <w:r>
        <w:t>3. Definitions</w:t>
      </w:r>
      <w:bookmarkEnd w:id="2"/>
    </w:p>
    <w:p w14:paraId="5837297C" w14:textId="4898F10E" w:rsidR="00E6033A" w:rsidRDefault="00F205F6">
      <w:pPr>
        <w:spacing w:after="195"/>
        <w:ind w:right="13"/>
      </w:pPr>
      <w:r>
        <w:t>A student has SEND if they have a learning difficulty or disability that calls for special educational provision to be made for them</w:t>
      </w:r>
      <w:r w:rsidR="00BF1006">
        <w:t xml:space="preserve"> which by the nature of our school being a pupil referral unit status it is very likely that all students attending longer term places at </w:t>
      </w:r>
      <w:proofErr w:type="spellStart"/>
      <w:r w:rsidR="00BF1006">
        <w:t>keystage</w:t>
      </w:r>
      <w:proofErr w:type="spellEnd"/>
      <w:r w:rsidR="00BF1006">
        <w:t xml:space="preserve"> 4 will have SEND needs.</w:t>
      </w:r>
    </w:p>
    <w:p w14:paraId="573F6232" w14:textId="77777777" w:rsidR="00E6033A" w:rsidRDefault="00F205F6">
      <w:pPr>
        <w:ind w:right="13"/>
      </w:pPr>
      <w:r>
        <w:t>They have a learning difficulty or disability if they have:</w:t>
      </w:r>
    </w:p>
    <w:p w14:paraId="35A70470" w14:textId="77777777" w:rsidR="00E6033A" w:rsidRDefault="00F205F6">
      <w:pPr>
        <w:numPr>
          <w:ilvl w:val="0"/>
          <w:numId w:val="3"/>
        </w:numPr>
        <w:ind w:right="13" w:hanging="345"/>
      </w:pPr>
      <w:r>
        <w:t xml:space="preserve">a significantly greater difficulty in learning than </w:t>
      </w:r>
      <w:proofErr w:type="gramStart"/>
      <w:r>
        <w:t>the majority of</w:t>
      </w:r>
      <w:proofErr w:type="gramEnd"/>
      <w:r>
        <w:t xml:space="preserve"> the others of the same age, or</w:t>
      </w:r>
    </w:p>
    <w:p w14:paraId="63620238" w14:textId="77777777" w:rsidR="00E6033A" w:rsidRDefault="00F205F6">
      <w:pPr>
        <w:numPr>
          <w:ilvl w:val="0"/>
          <w:numId w:val="3"/>
        </w:numPr>
        <w:spacing w:after="195"/>
        <w:ind w:right="13" w:hanging="345"/>
      </w:pPr>
      <w:r>
        <w:t>a disability which prevents or hinders them from making use of facilities of a kind generally provided for others of the same age in mainstream schools</w:t>
      </w:r>
    </w:p>
    <w:p w14:paraId="41FC0DC3" w14:textId="77777777" w:rsidR="00E6033A" w:rsidRDefault="00F205F6">
      <w:pPr>
        <w:spacing w:after="113"/>
        <w:ind w:right="13"/>
      </w:pPr>
      <w:r>
        <w:t>Special educational provision is educational or training provision that is additional to, or different from, that made generally for other children or young people of the same age by mainstream schools.</w:t>
      </w:r>
    </w:p>
    <w:p w14:paraId="7DA8CF7F" w14:textId="77777777" w:rsidR="00E6033A" w:rsidRDefault="00F205F6">
      <w:pPr>
        <w:pStyle w:val="Heading1"/>
        <w:spacing w:after="113" w:line="265" w:lineRule="auto"/>
        <w:ind w:right="13"/>
      </w:pPr>
      <w:bookmarkStart w:id="3" w:name="_Toc9370"/>
      <w:r>
        <w:t>4. Roles and responsibilities</w:t>
      </w:r>
      <w:bookmarkEnd w:id="3"/>
    </w:p>
    <w:p w14:paraId="502D3D49" w14:textId="77777777" w:rsidR="00E6033A" w:rsidRDefault="00F205F6">
      <w:pPr>
        <w:pStyle w:val="Heading2"/>
        <w:ind w:left="-5" w:right="14"/>
      </w:pPr>
      <w:bookmarkStart w:id="4" w:name="_Toc9371"/>
      <w:r>
        <w:t>4.1 The SENDCO</w:t>
      </w:r>
      <w:bookmarkEnd w:id="4"/>
    </w:p>
    <w:p w14:paraId="729506FD" w14:textId="2CA45F71" w:rsidR="00E6033A" w:rsidRDefault="00F205F6">
      <w:pPr>
        <w:spacing w:after="181"/>
        <w:ind w:right="13"/>
      </w:pPr>
      <w:r>
        <w:t xml:space="preserve">The SENDCO is </w:t>
      </w:r>
      <w:r w:rsidR="00216791">
        <w:t>Kate Middleton, katemiddleton@twobridgesschool.com</w:t>
      </w:r>
    </w:p>
    <w:p w14:paraId="5A3A0036" w14:textId="77777777" w:rsidR="00E6033A" w:rsidRDefault="00F205F6">
      <w:pPr>
        <w:ind w:right="13"/>
      </w:pPr>
      <w:r>
        <w:t>They will:</w:t>
      </w:r>
    </w:p>
    <w:p w14:paraId="7E26EB75" w14:textId="6C24B92A" w:rsidR="00E6033A" w:rsidRDefault="00F205F6">
      <w:pPr>
        <w:numPr>
          <w:ilvl w:val="0"/>
          <w:numId w:val="4"/>
        </w:numPr>
        <w:ind w:right="13" w:hanging="345"/>
      </w:pPr>
      <w:r>
        <w:t xml:space="preserve">Work with the SEND </w:t>
      </w:r>
      <w:r w:rsidR="00BF1006">
        <w:t>MC representative</w:t>
      </w:r>
      <w:r>
        <w:t xml:space="preserve"> to determine the strategic development of the SEND policy and provision in the </w:t>
      </w:r>
      <w:proofErr w:type="gramStart"/>
      <w:r>
        <w:t>school .</w:t>
      </w:r>
      <w:proofErr w:type="gramEnd"/>
    </w:p>
    <w:p w14:paraId="3623F186" w14:textId="77777777" w:rsidR="00E6033A" w:rsidRDefault="00F205F6">
      <w:pPr>
        <w:numPr>
          <w:ilvl w:val="0"/>
          <w:numId w:val="4"/>
        </w:numPr>
        <w:spacing w:after="121" w:line="216" w:lineRule="auto"/>
        <w:ind w:right="13" w:hanging="345"/>
      </w:pPr>
      <w:r>
        <w:lastRenderedPageBreak/>
        <w:t>Have day-to-day responsibility for the operation of this SEND policy and the coordination of specific provision made to support individual students with SEND, including those who have EHC plans.</w:t>
      </w:r>
    </w:p>
    <w:p w14:paraId="1BF56BA3" w14:textId="77777777" w:rsidR="00E6033A" w:rsidRDefault="00F205F6">
      <w:pPr>
        <w:numPr>
          <w:ilvl w:val="0"/>
          <w:numId w:val="4"/>
        </w:numPr>
        <w:ind w:right="13" w:hanging="345"/>
      </w:pPr>
      <w:r>
        <w:t>Provide professional guidance to colleagues and work with staff, parents, and other agencies to ensure that students with SEND receive appropriate support and high-quality teaching.</w:t>
      </w:r>
    </w:p>
    <w:p w14:paraId="312F0A68" w14:textId="77777777" w:rsidR="00E6033A" w:rsidRDefault="00F205F6">
      <w:pPr>
        <w:numPr>
          <w:ilvl w:val="0"/>
          <w:numId w:val="4"/>
        </w:numPr>
        <w:ind w:right="13" w:hanging="345"/>
      </w:pPr>
      <w:r>
        <w:t>Advise on the graduated approach to providing SEND support.</w:t>
      </w:r>
    </w:p>
    <w:p w14:paraId="74AF087A" w14:textId="5EF600BE" w:rsidR="00E6033A" w:rsidRDefault="00F205F6">
      <w:pPr>
        <w:numPr>
          <w:ilvl w:val="0"/>
          <w:numId w:val="4"/>
        </w:numPr>
        <w:ind w:right="13" w:hanging="345"/>
      </w:pPr>
      <w:r>
        <w:t>Advise on the deployment of the school’s budget and other resources to meet students’ needs effectively.</w:t>
      </w:r>
    </w:p>
    <w:p w14:paraId="79E52235" w14:textId="77777777" w:rsidR="00E6033A" w:rsidRDefault="00F205F6">
      <w:pPr>
        <w:numPr>
          <w:ilvl w:val="0"/>
          <w:numId w:val="4"/>
        </w:numPr>
        <w:ind w:right="13" w:hanging="345"/>
      </w:pPr>
      <w:r>
        <w:t>Be the point of contact for external agencies, especially the local authority (LA) and its support services.</w:t>
      </w:r>
    </w:p>
    <w:p w14:paraId="665E4F0D" w14:textId="77777777" w:rsidR="00E6033A" w:rsidRDefault="00F205F6">
      <w:pPr>
        <w:numPr>
          <w:ilvl w:val="0"/>
          <w:numId w:val="4"/>
        </w:numPr>
        <w:ind w:right="13" w:hanging="345"/>
      </w:pPr>
      <w:r>
        <w:t xml:space="preserve">Liaise with potential next providers of education to ensure that the school meets its responsibilities under the Equality Act 2010 </w:t>
      </w:r>
      <w:proofErr w:type="gramStart"/>
      <w:r>
        <w:t>with regard to</w:t>
      </w:r>
      <w:proofErr w:type="gramEnd"/>
      <w:r>
        <w:t xml:space="preserve"> reasonable adjustments and access arrangements.</w:t>
      </w:r>
    </w:p>
    <w:p w14:paraId="4B0B930B" w14:textId="77777777" w:rsidR="00E6033A" w:rsidRDefault="00F205F6">
      <w:pPr>
        <w:numPr>
          <w:ilvl w:val="0"/>
          <w:numId w:val="4"/>
        </w:numPr>
        <w:spacing w:after="181"/>
        <w:ind w:right="13" w:hanging="345"/>
      </w:pPr>
      <w:r>
        <w:t>Ensure the school keeps the records of all students with SEND up to date.</w:t>
      </w:r>
    </w:p>
    <w:p w14:paraId="1614E75D" w14:textId="0E539802" w:rsidR="00E6033A" w:rsidRDefault="00F205F6">
      <w:pPr>
        <w:pStyle w:val="Heading2"/>
        <w:ind w:left="-5" w:right="14"/>
      </w:pPr>
      <w:bookmarkStart w:id="5" w:name="_Toc9372"/>
      <w:r>
        <w:t xml:space="preserve">4.2 The SEND </w:t>
      </w:r>
      <w:bookmarkEnd w:id="5"/>
      <w:r w:rsidR="00BF1006">
        <w:t>MC representative</w:t>
      </w:r>
    </w:p>
    <w:p w14:paraId="3AFC9082" w14:textId="40856D9C" w:rsidR="00E6033A" w:rsidRDefault="00F205F6">
      <w:pPr>
        <w:ind w:right="13"/>
      </w:pPr>
      <w:r>
        <w:t xml:space="preserve">The SEND </w:t>
      </w:r>
      <w:r w:rsidR="00BF1006">
        <w:t>MC representative</w:t>
      </w:r>
      <w:r>
        <w:t xml:space="preserve"> will:</w:t>
      </w:r>
    </w:p>
    <w:p w14:paraId="0640AE23" w14:textId="4ED2A131" w:rsidR="00E6033A" w:rsidRDefault="00F205F6">
      <w:pPr>
        <w:numPr>
          <w:ilvl w:val="0"/>
          <w:numId w:val="5"/>
        </w:numPr>
        <w:ind w:right="13" w:hanging="345"/>
      </w:pPr>
      <w:r>
        <w:t xml:space="preserve">Help to raise awareness of SEND issues at </w:t>
      </w:r>
      <w:r w:rsidR="00BF1006">
        <w:t>Management</w:t>
      </w:r>
      <w:r>
        <w:t xml:space="preserve"> committee meetings.</w:t>
      </w:r>
    </w:p>
    <w:p w14:paraId="146AC0FF" w14:textId="5A1F9D91" w:rsidR="00E6033A" w:rsidRDefault="00F205F6" w:rsidP="00F829B8">
      <w:pPr>
        <w:numPr>
          <w:ilvl w:val="0"/>
          <w:numId w:val="5"/>
        </w:numPr>
        <w:ind w:right="13" w:hanging="345"/>
        <w:sectPr w:rsidR="00E6033A" w:rsidSect="00BF1006">
          <w:headerReference w:type="even" r:id="rId12"/>
          <w:headerReference w:type="default" r:id="rId13"/>
          <w:footerReference w:type="even" r:id="rId14"/>
          <w:footerReference w:type="default" r:id="rId15"/>
          <w:headerReference w:type="first" r:id="rId16"/>
          <w:pgSz w:w="11920" w:h="16840"/>
          <w:pgMar w:top="512" w:right="758" w:bottom="1232" w:left="737" w:header="720" w:footer="720" w:gutter="0"/>
          <w:cols w:space="720"/>
          <w:titlePg/>
        </w:sectPr>
      </w:pPr>
      <w:r>
        <w:t>Monitor the quality and effectiveness of SEN and disability provision within the school and update the governing body on thi</w:t>
      </w:r>
      <w:r w:rsidR="00F829B8">
        <w:t>s</w:t>
      </w:r>
    </w:p>
    <w:p w14:paraId="5E7AA59D" w14:textId="3F9BD6A7" w:rsidR="00E6033A" w:rsidRDefault="00F205F6" w:rsidP="00216791">
      <w:pPr>
        <w:spacing w:after="163"/>
        <w:ind w:left="0" w:right="501" w:firstLine="0"/>
      </w:pPr>
      <w:r>
        <w:lastRenderedPageBreak/>
        <w:t xml:space="preserve">Work with the </w:t>
      </w:r>
      <w:r w:rsidR="00BF1006">
        <w:t xml:space="preserve">Head Teacher / </w:t>
      </w:r>
      <w:r>
        <w:t>SENDCO to determine the strategic development of the SEND policy and provision in the school.</w:t>
      </w:r>
    </w:p>
    <w:p w14:paraId="223073F8" w14:textId="448CEF75" w:rsidR="00E6033A" w:rsidRDefault="00F205F6">
      <w:pPr>
        <w:pStyle w:val="Heading2"/>
        <w:spacing w:after="163" w:line="265" w:lineRule="auto"/>
        <w:ind w:left="0" w:right="501" w:firstLine="345"/>
      </w:pPr>
      <w:bookmarkStart w:id="6" w:name="_Toc9373"/>
      <w:r>
        <w:t xml:space="preserve">4.3 The </w:t>
      </w:r>
      <w:r w:rsidR="008E5C9E">
        <w:t xml:space="preserve">Interim </w:t>
      </w:r>
      <w:r>
        <w:t>Headteacher</w:t>
      </w:r>
      <w:bookmarkEnd w:id="6"/>
    </w:p>
    <w:p w14:paraId="37DDB534" w14:textId="24385499" w:rsidR="00E6033A" w:rsidRDefault="00F205F6">
      <w:pPr>
        <w:ind w:right="13"/>
      </w:pPr>
      <w:r>
        <w:t xml:space="preserve">The </w:t>
      </w:r>
      <w:r w:rsidR="008E5C9E">
        <w:t xml:space="preserve">Interim </w:t>
      </w:r>
      <w:r>
        <w:t>Headteacher will:</w:t>
      </w:r>
    </w:p>
    <w:p w14:paraId="4F7D6A00" w14:textId="630C9FFF" w:rsidR="00E6033A" w:rsidRDefault="00F205F6">
      <w:pPr>
        <w:numPr>
          <w:ilvl w:val="0"/>
          <w:numId w:val="6"/>
        </w:numPr>
        <w:ind w:right="13" w:hanging="345"/>
      </w:pPr>
      <w:r>
        <w:t xml:space="preserve">Work with the SEND </w:t>
      </w:r>
      <w:r w:rsidR="00BF1006">
        <w:t>MC representative</w:t>
      </w:r>
      <w:r>
        <w:t xml:space="preserve"> to determine the strategic development of the SEND policy and provision within the school.</w:t>
      </w:r>
    </w:p>
    <w:p w14:paraId="1958613D" w14:textId="69449FFC" w:rsidR="00E6033A" w:rsidRDefault="00F205F6">
      <w:pPr>
        <w:numPr>
          <w:ilvl w:val="0"/>
          <w:numId w:val="6"/>
        </w:numPr>
        <w:spacing w:after="0" w:line="409" w:lineRule="auto"/>
        <w:ind w:right="13" w:hanging="345"/>
      </w:pPr>
      <w:r>
        <w:t xml:space="preserve">Have overall responsibility for the provision and progress of learners with SEN and/or a disability. </w:t>
      </w:r>
      <w:r>
        <w:rPr>
          <w:b/>
        </w:rPr>
        <w:t xml:space="preserve">4.4 </w:t>
      </w:r>
      <w:r w:rsidR="00BF1006">
        <w:rPr>
          <w:b/>
        </w:rPr>
        <w:t>Subject</w:t>
      </w:r>
      <w:r>
        <w:rPr>
          <w:b/>
        </w:rPr>
        <w:t xml:space="preserve"> teachers</w:t>
      </w:r>
    </w:p>
    <w:p w14:paraId="6E970F77" w14:textId="42F29DDC" w:rsidR="00E6033A" w:rsidRDefault="00F205F6">
      <w:pPr>
        <w:ind w:right="13"/>
      </w:pPr>
      <w:r>
        <w:t xml:space="preserve">Each </w:t>
      </w:r>
      <w:r w:rsidR="00BF1006">
        <w:t>subject</w:t>
      </w:r>
      <w:r>
        <w:t xml:space="preserve"> teacher is responsible for:</w:t>
      </w:r>
    </w:p>
    <w:p w14:paraId="34392BD0" w14:textId="77777777" w:rsidR="00E6033A" w:rsidRDefault="00F205F6">
      <w:pPr>
        <w:numPr>
          <w:ilvl w:val="0"/>
          <w:numId w:val="6"/>
        </w:numPr>
        <w:ind w:right="13" w:hanging="345"/>
      </w:pPr>
      <w:r>
        <w:t>The progress and development of every student in their class.</w:t>
      </w:r>
    </w:p>
    <w:p w14:paraId="10528D7A" w14:textId="77777777" w:rsidR="00E6033A" w:rsidRDefault="00F205F6">
      <w:pPr>
        <w:numPr>
          <w:ilvl w:val="0"/>
          <w:numId w:val="6"/>
        </w:numPr>
        <w:ind w:right="13" w:hanging="345"/>
      </w:pPr>
      <w:r>
        <w:t>Working closely with any teaching assistants or specialist staff to plan and assess the impact of support and interventions, and how they can be linked to classroom teaching.</w:t>
      </w:r>
    </w:p>
    <w:p w14:paraId="4A0A3CAA" w14:textId="77777777" w:rsidR="00E6033A" w:rsidRDefault="00F205F6">
      <w:pPr>
        <w:numPr>
          <w:ilvl w:val="0"/>
          <w:numId w:val="6"/>
        </w:numPr>
        <w:ind w:right="13" w:hanging="345"/>
      </w:pPr>
      <w:r>
        <w:t xml:space="preserve">Working with the SENDCO to review each student’s progress and </w:t>
      </w:r>
      <w:proofErr w:type="gramStart"/>
      <w:r>
        <w:t>development, and</w:t>
      </w:r>
      <w:proofErr w:type="gramEnd"/>
      <w:r>
        <w:t xml:space="preserve"> decide on any changes to provision.</w:t>
      </w:r>
    </w:p>
    <w:p w14:paraId="05C61A35" w14:textId="77777777" w:rsidR="00E6033A" w:rsidRDefault="00F205F6">
      <w:pPr>
        <w:numPr>
          <w:ilvl w:val="0"/>
          <w:numId w:val="6"/>
        </w:numPr>
        <w:spacing w:after="239"/>
        <w:ind w:right="13" w:hanging="345"/>
      </w:pPr>
      <w:r>
        <w:t>Ensuring they follow this SEND policy.</w:t>
      </w:r>
    </w:p>
    <w:p w14:paraId="051A25C2" w14:textId="50FDCAAF" w:rsidR="00E6033A" w:rsidRDefault="008E4F17">
      <w:pPr>
        <w:pStyle w:val="Heading1"/>
        <w:ind w:left="-5"/>
      </w:pPr>
      <w:bookmarkStart w:id="7" w:name="_Toc9393"/>
      <w:r>
        <w:t>5</w:t>
      </w:r>
      <w:r w:rsidR="00F205F6">
        <w:t>. Monitoring arrangements</w:t>
      </w:r>
      <w:bookmarkEnd w:id="7"/>
    </w:p>
    <w:p w14:paraId="57272F62" w14:textId="4782F06D" w:rsidR="00E6033A" w:rsidRDefault="00F205F6">
      <w:pPr>
        <w:spacing w:after="195"/>
        <w:ind w:right="13"/>
      </w:pPr>
      <w:r>
        <w:t xml:space="preserve">This policy and information report will be reviewed by the SENDCo </w:t>
      </w:r>
      <w:r>
        <w:rPr>
          <w:b/>
        </w:rPr>
        <w:t>every year</w:t>
      </w:r>
      <w:r>
        <w:t>. It will also be updated if any changes to the information are made during the year.</w:t>
      </w:r>
    </w:p>
    <w:p w14:paraId="054E588C" w14:textId="13713069" w:rsidR="00BF1006" w:rsidRDefault="00BF1006">
      <w:pPr>
        <w:spacing w:after="195"/>
        <w:ind w:right="13"/>
      </w:pPr>
      <w:r>
        <w:t>It will be approved by the Management Committee.</w:t>
      </w:r>
    </w:p>
    <w:p w14:paraId="79750F7E" w14:textId="73B69073" w:rsidR="00E6033A" w:rsidRDefault="008E4F17">
      <w:pPr>
        <w:pStyle w:val="Heading1"/>
        <w:spacing w:after="0" w:line="399" w:lineRule="auto"/>
        <w:ind w:right="5237"/>
      </w:pPr>
      <w:bookmarkStart w:id="8" w:name="_Toc9394"/>
      <w:r>
        <w:t>6</w:t>
      </w:r>
      <w:r w:rsidR="00F205F6">
        <w:t>. Links with other policies and documents</w:t>
      </w:r>
      <w:bookmarkEnd w:id="8"/>
    </w:p>
    <w:p w14:paraId="64E061AA" w14:textId="2C23C4A1" w:rsidR="00E6033A" w:rsidRDefault="00F205F6" w:rsidP="00BF1006">
      <w:pPr>
        <w:spacing w:after="206"/>
        <w:ind w:right="13"/>
      </w:pPr>
      <w:r>
        <w:t xml:space="preserve">This policy links to </w:t>
      </w:r>
      <w:r w:rsidR="00BF1006">
        <w:t xml:space="preserve">other useful policies that can be found on the </w:t>
      </w:r>
      <w:proofErr w:type="gramStart"/>
      <w:r w:rsidR="00BF1006">
        <w:t>School</w:t>
      </w:r>
      <w:proofErr w:type="gramEnd"/>
      <w:r w:rsidR="00BF1006">
        <w:t xml:space="preserve"> website under Policies</w:t>
      </w:r>
    </w:p>
    <w:sectPr w:rsidR="00E6033A">
      <w:headerReference w:type="even" r:id="rId17"/>
      <w:headerReference w:type="default" r:id="rId18"/>
      <w:headerReference w:type="first" r:id="rId19"/>
      <w:pgSz w:w="11920" w:h="16840"/>
      <w:pgMar w:top="968" w:right="779" w:bottom="1502" w:left="73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55D1A" w14:textId="77777777" w:rsidR="00795EFA" w:rsidRDefault="00795EFA">
      <w:pPr>
        <w:spacing w:after="0" w:line="240" w:lineRule="auto"/>
      </w:pPr>
      <w:r>
        <w:separator/>
      </w:r>
    </w:p>
  </w:endnote>
  <w:endnote w:type="continuationSeparator" w:id="0">
    <w:p w14:paraId="7806E6E2" w14:textId="77777777" w:rsidR="00795EFA" w:rsidRDefault="00795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3816443"/>
      <w:docPartObj>
        <w:docPartGallery w:val="Page Numbers (Bottom of Page)"/>
        <w:docPartUnique/>
      </w:docPartObj>
    </w:sdtPr>
    <w:sdtEndPr>
      <w:rPr>
        <w:rStyle w:val="PageNumber"/>
      </w:rPr>
    </w:sdtEndPr>
    <w:sdtContent>
      <w:p w14:paraId="2D3A4268" w14:textId="64B8BF43" w:rsidR="00BF1006" w:rsidRDefault="00BF1006" w:rsidP="00FE2C23">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F488C46" w14:textId="77777777" w:rsidR="00BF1006" w:rsidRDefault="00BF1006" w:rsidP="00BF1006">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6783932"/>
      <w:docPartObj>
        <w:docPartGallery w:val="Page Numbers (Bottom of Page)"/>
        <w:docPartUnique/>
      </w:docPartObj>
    </w:sdtPr>
    <w:sdtEndPr>
      <w:rPr>
        <w:rStyle w:val="PageNumber"/>
      </w:rPr>
    </w:sdtEndPr>
    <w:sdtContent>
      <w:p w14:paraId="75FFC003" w14:textId="57F38BD7" w:rsidR="00BF1006" w:rsidRDefault="00BF1006" w:rsidP="00FE2C23">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79EF8CF6" w14:textId="77777777" w:rsidR="00BF1006" w:rsidRDefault="00BF1006" w:rsidP="00BF1006">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B6E79" w14:textId="77777777" w:rsidR="00795EFA" w:rsidRDefault="00795EFA">
      <w:pPr>
        <w:spacing w:after="0" w:line="240" w:lineRule="auto"/>
      </w:pPr>
      <w:r>
        <w:separator/>
      </w:r>
    </w:p>
  </w:footnote>
  <w:footnote w:type="continuationSeparator" w:id="0">
    <w:p w14:paraId="59EC6517" w14:textId="77777777" w:rsidR="00795EFA" w:rsidRDefault="00795E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F6C47" w14:textId="77777777" w:rsidR="00E6033A" w:rsidRDefault="00E6033A">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08276" w14:textId="77777777" w:rsidR="00E6033A" w:rsidRDefault="00E6033A">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EBF48" w14:textId="77777777" w:rsidR="00E6033A" w:rsidRDefault="00E6033A">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9946A" w14:textId="77777777" w:rsidR="00E6033A" w:rsidRDefault="00F205F6">
    <w:pPr>
      <w:spacing w:after="0" w:line="259" w:lineRule="auto"/>
      <w:ind w:left="0" w:firstLine="0"/>
    </w:pPr>
    <w:r>
      <w:rPr>
        <w:rFonts w:ascii="Arial" w:eastAsia="Arial" w:hAnsi="Arial" w:cs="Arial"/>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85629" w14:textId="77777777" w:rsidR="00E6033A" w:rsidRDefault="00E6033A">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E8152" w14:textId="77777777" w:rsidR="00E6033A" w:rsidRDefault="00F205F6">
    <w:pPr>
      <w:spacing w:after="0" w:line="259" w:lineRule="auto"/>
      <w:ind w:left="0" w:firstLine="0"/>
    </w:pPr>
    <w:r>
      <w:rPr>
        <w:rFonts w:ascii="Arial" w:eastAsia="Arial" w:hAnsi="Arial" w:cs="Aria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3286"/>
    <w:multiLevelType w:val="hybridMultilevel"/>
    <w:tmpl w:val="076886D2"/>
    <w:lvl w:ilvl="0" w:tplc="A042824A">
      <w:start w:val="1"/>
      <w:numFmt w:val="bullet"/>
      <w:lvlText w:val="●"/>
      <w:lvlJc w:val="left"/>
      <w:pPr>
        <w:ind w:left="3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6085B6">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DF25BE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BB4DFD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50592C">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72E9FD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E46FC5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CACD7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5200DCE">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C41F06"/>
    <w:multiLevelType w:val="hybridMultilevel"/>
    <w:tmpl w:val="D76E31C4"/>
    <w:lvl w:ilvl="0" w:tplc="7478A260">
      <w:start w:val="1"/>
      <w:numFmt w:val="bullet"/>
      <w:lvlText w:val="●"/>
      <w:lvlJc w:val="left"/>
      <w:pPr>
        <w:ind w:left="3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C280F4">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D867A4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9945E4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FE7F1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782F6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22C2C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22B106">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4C5352">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676697F"/>
    <w:multiLevelType w:val="hybridMultilevel"/>
    <w:tmpl w:val="0C72E432"/>
    <w:lvl w:ilvl="0" w:tplc="F8BCF922">
      <w:start w:val="1"/>
      <w:numFmt w:val="bullet"/>
      <w:lvlText w:val="●"/>
      <w:lvlJc w:val="left"/>
      <w:pPr>
        <w:ind w:left="3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1EE010">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574FE72">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6B8321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ACAE26">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EE2F23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7CC6B2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1242E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5AEE0A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AE62C5B"/>
    <w:multiLevelType w:val="hybridMultilevel"/>
    <w:tmpl w:val="A23698DC"/>
    <w:lvl w:ilvl="0" w:tplc="A9C6C1BC">
      <w:start w:val="1"/>
      <w:numFmt w:val="bullet"/>
      <w:lvlText w:val="●"/>
      <w:lvlJc w:val="left"/>
      <w:pPr>
        <w:ind w:left="3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16A32A">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1D29222">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928EA2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00727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86EF57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B9C9B2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5E5CA6">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01CB6DE">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B385E0E"/>
    <w:multiLevelType w:val="hybridMultilevel"/>
    <w:tmpl w:val="27BEED4E"/>
    <w:lvl w:ilvl="0" w:tplc="66AAE214">
      <w:start w:val="1"/>
      <w:numFmt w:val="bullet"/>
      <w:lvlText w:val="●"/>
      <w:lvlJc w:val="left"/>
      <w:pPr>
        <w:ind w:left="3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BCF914">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A90FC9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1CA2D3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98ADCE">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38492F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0C8BB4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90CEC0">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1A6E3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C12251E"/>
    <w:multiLevelType w:val="hybridMultilevel"/>
    <w:tmpl w:val="5AA26C62"/>
    <w:lvl w:ilvl="0" w:tplc="7230FBD0">
      <w:start w:val="1"/>
      <w:numFmt w:val="bullet"/>
      <w:lvlText w:val="●"/>
      <w:lvlJc w:val="left"/>
      <w:pPr>
        <w:ind w:left="3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EC8790">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A7C348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720370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DEB1F8">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26F3E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B6E036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103B3C">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04234C4">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055035F"/>
    <w:multiLevelType w:val="hybridMultilevel"/>
    <w:tmpl w:val="2736A91E"/>
    <w:lvl w:ilvl="0" w:tplc="73062BB8">
      <w:start w:val="1"/>
      <w:numFmt w:val="bullet"/>
      <w:lvlText w:val="●"/>
      <w:lvlJc w:val="left"/>
      <w:pPr>
        <w:ind w:left="3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66F2A6">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A3050F8">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52F07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547F3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D94615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96C06A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585B88">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D605898">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2F83850"/>
    <w:multiLevelType w:val="hybridMultilevel"/>
    <w:tmpl w:val="7BC471BE"/>
    <w:lvl w:ilvl="0" w:tplc="B6EAA0A2">
      <w:start w:val="1"/>
      <w:numFmt w:val="bullet"/>
      <w:lvlText w:val="●"/>
      <w:lvlJc w:val="left"/>
      <w:pPr>
        <w:ind w:left="3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5A7E98"/>
    <w:multiLevelType w:val="hybridMultilevel"/>
    <w:tmpl w:val="BCB4C814"/>
    <w:lvl w:ilvl="0" w:tplc="4F4C7C1A">
      <w:start w:val="1"/>
      <w:numFmt w:val="bullet"/>
      <w:lvlText w:val="●"/>
      <w:lvlJc w:val="left"/>
      <w:pPr>
        <w:ind w:left="3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3C35AA">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44F7B2">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E268A7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624218">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32DF4E">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2EEEC6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8E5FD8">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90C9914">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73C5546"/>
    <w:multiLevelType w:val="hybridMultilevel"/>
    <w:tmpl w:val="30967204"/>
    <w:lvl w:ilvl="0" w:tplc="99D6463A">
      <w:start w:val="1"/>
      <w:numFmt w:val="bullet"/>
      <w:lvlText w:val="●"/>
      <w:lvlJc w:val="left"/>
      <w:pPr>
        <w:ind w:left="3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1E6954">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3665702">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0ACA7D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103EDE">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958175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748642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70741A">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9027B32">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591129B"/>
    <w:multiLevelType w:val="hybridMultilevel"/>
    <w:tmpl w:val="D40A3888"/>
    <w:lvl w:ilvl="0" w:tplc="042A24DC">
      <w:start w:val="1"/>
      <w:numFmt w:val="bullet"/>
      <w:lvlText w:val="●"/>
      <w:lvlJc w:val="left"/>
      <w:pPr>
        <w:ind w:left="3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5A154A">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3B861F8">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170DFE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867DF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858AA8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E6C441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223CA8">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BB077B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60451A7"/>
    <w:multiLevelType w:val="hybridMultilevel"/>
    <w:tmpl w:val="4F40CB70"/>
    <w:lvl w:ilvl="0" w:tplc="FF308554">
      <w:start w:val="1"/>
      <w:numFmt w:val="bullet"/>
      <w:lvlText w:val="●"/>
      <w:lvlJc w:val="left"/>
      <w:pPr>
        <w:ind w:left="3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487E96">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AFA58B8">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58E2E3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F8DFE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6CE328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2E0C8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4C2C9C">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E32B21C">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A0451CC"/>
    <w:multiLevelType w:val="hybridMultilevel"/>
    <w:tmpl w:val="91C22F58"/>
    <w:lvl w:ilvl="0" w:tplc="ABA69C40">
      <w:start w:val="1"/>
      <w:numFmt w:val="bullet"/>
      <w:lvlText w:val="●"/>
      <w:lvlJc w:val="left"/>
      <w:pPr>
        <w:ind w:left="3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D60174">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81281E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BCA85B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F4F53C">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8CC3A88">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2E2124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BAFC0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8168228">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AB24DD6"/>
    <w:multiLevelType w:val="hybridMultilevel"/>
    <w:tmpl w:val="BDEA2A96"/>
    <w:lvl w:ilvl="0" w:tplc="28D28852">
      <w:start w:val="1"/>
      <w:numFmt w:val="bullet"/>
      <w:lvlText w:val="●"/>
      <w:lvlJc w:val="left"/>
      <w:pPr>
        <w:ind w:left="3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78B444">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1702C8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68E70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3A5944">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E58693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40C4E2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60045A">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79C7BCC">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7DF34F9"/>
    <w:multiLevelType w:val="hybridMultilevel"/>
    <w:tmpl w:val="21A2CDE2"/>
    <w:lvl w:ilvl="0" w:tplc="B6EAA0A2">
      <w:start w:val="1"/>
      <w:numFmt w:val="bullet"/>
      <w:lvlText w:val="●"/>
      <w:lvlJc w:val="left"/>
      <w:pPr>
        <w:ind w:left="3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30CDD8">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006DC1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98849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404D5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B2AA8A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F76946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268396">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F36AFB2">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BFF5A94"/>
    <w:multiLevelType w:val="hybridMultilevel"/>
    <w:tmpl w:val="499A30EA"/>
    <w:lvl w:ilvl="0" w:tplc="D6D65116">
      <w:start w:val="1"/>
      <w:numFmt w:val="bullet"/>
      <w:lvlText w:val="●"/>
      <w:lvlJc w:val="left"/>
      <w:pPr>
        <w:ind w:left="3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0890BA">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F427B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152C62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EAB07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6A4865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B8215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182AD0">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9B45EC4">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15E03E0"/>
    <w:multiLevelType w:val="hybridMultilevel"/>
    <w:tmpl w:val="AED82B40"/>
    <w:lvl w:ilvl="0" w:tplc="BE4615D0">
      <w:start w:val="1"/>
      <w:numFmt w:val="bullet"/>
      <w:lvlText w:val="●"/>
      <w:lvlJc w:val="left"/>
      <w:pPr>
        <w:ind w:left="3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06348C">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DB6E48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04A122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70612C">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3B652D8">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688AE9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2E8926">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29E3DE2">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57E37BD"/>
    <w:multiLevelType w:val="hybridMultilevel"/>
    <w:tmpl w:val="0A3611C6"/>
    <w:lvl w:ilvl="0" w:tplc="4F3ABB2A">
      <w:start w:val="1"/>
      <w:numFmt w:val="bullet"/>
      <w:lvlText w:val="●"/>
      <w:lvlJc w:val="left"/>
      <w:pPr>
        <w:ind w:left="3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3C55A4">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DD462C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BC41A4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166DF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15CDB8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0CA340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FEC9AE">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570D7D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F3B59B8"/>
    <w:multiLevelType w:val="hybridMultilevel"/>
    <w:tmpl w:val="81340FE8"/>
    <w:lvl w:ilvl="0" w:tplc="B5A4E8E6">
      <w:start w:val="1"/>
      <w:numFmt w:val="bullet"/>
      <w:lvlText w:val="●"/>
      <w:lvlJc w:val="left"/>
      <w:pPr>
        <w:ind w:left="3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B24AD0">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214F0E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54BEE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5C8950">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8484CE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CD8D83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B4C34A">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2588A7A">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573848497">
    <w:abstractNumId w:val="12"/>
  </w:num>
  <w:num w:numId="2" w16cid:durableId="1117800106">
    <w:abstractNumId w:val="16"/>
  </w:num>
  <w:num w:numId="3" w16cid:durableId="98184376">
    <w:abstractNumId w:val="15"/>
  </w:num>
  <w:num w:numId="4" w16cid:durableId="761340558">
    <w:abstractNumId w:val="0"/>
  </w:num>
  <w:num w:numId="5" w16cid:durableId="1218668141">
    <w:abstractNumId w:val="10"/>
  </w:num>
  <w:num w:numId="6" w16cid:durableId="2061510970">
    <w:abstractNumId w:val="9"/>
  </w:num>
  <w:num w:numId="7" w16cid:durableId="1840806459">
    <w:abstractNumId w:val="5"/>
  </w:num>
  <w:num w:numId="8" w16cid:durableId="2141997092">
    <w:abstractNumId w:val="3"/>
  </w:num>
  <w:num w:numId="9" w16cid:durableId="1625574715">
    <w:abstractNumId w:val="17"/>
  </w:num>
  <w:num w:numId="10" w16cid:durableId="446049365">
    <w:abstractNumId w:val="13"/>
  </w:num>
  <w:num w:numId="11" w16cid:durableId="1354309417">
    <w:abstractNumId w:val="18"/>
  </w:num>
  <w:num w:numId="12" w16cid:durableId="1806387889">
    <w:abstractNumId w:val="14"/>
  </w:num>
  <w:num w:numId="13" w16cid:durableId="293097480">
    <w:abstractNumId w:val="2"/>
  </w:num>
  <w:num w:numId="14" w16cid:durableId="952054112">
    <w:abstractNumId w:val="11"/>
  </w:num>
  <w:num w:numId="15" w16cid:durableId="391657205">
    <w:abstractNumId w:val="8"/>
  </w:num>
  <w:num w:numId="16" w16cid:durableId="1864245768">
    <w:abstractNumId w:val="1"/>
  </w:num>
  <w:num w:numId="17" w16cid:durableId="214970271">
    <w:abstractNumId w:val="6"/>
  </w:num>
  <w:num w:numId="18" w16cid:durableId="1481190252">
    <w:abstractNumId w:val="4"/>
  </w:num>
  <w:num w:numId="19" w16cid:durableId="9069569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33A"/>
    <w:rsid w:val="00133DA7"/>
    <w:rsid w:val="00216791"/>
    <w:rsid w:val="0032756E"/>
    <w:rsid w:val="00646456"/>
    <w:rsid w:val="00795EFA"/>
    <w:rsid w:val="008E4F17"/>
    <w:rsid w:val="008E5C9E"/>
    <w:rsid w:val="0096100C"/>
    <w:rsid w:val="00AC4E6F"/>
    <w:rsid w:val="00BF05B2"/>
    <w:rsid w:val="00BF1006"/>
    <w:rsid w:val="00E6033A"/>
    <w:rsid w:val="00F205F6"/>
    <w:rsid w:val="00F829B8"/>
    <w:rsid w:val="00FB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46319"/>
  <w15:docId w15:val="{53BED683-0DBF-FD4D-B214-B1262F74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4" w:line="265" w:lineRule="auto"/>
      <w:ind w:left="10" w:hanging="10"/>
    </w:pPr>
    <w:rPr>
      <w:rFonts w:ascii="Open Sans" w:eastAsia="Open Sans" w:hAnsi="Open Sans" w:cs="Open Sans"/>
      <w:color w:val="000000"/>
      <w:sz w:val="22"/>
    </w:rPr>
  </w:style>
  <w:style w:type="paragraph" w:styleId="Heading1">
    <w:name w:val="heading 1"/>
    <w:next w:val="Normal"/>
    <w:link w:val="Heading1Char"/>
    <w:uiPriority w:val="9"/>
    <w:qFormat/>
    <w:pPr>
      <w:keepNext/>
      <w:keepLines/>
      <w:spacing w:after="143" w:line="259" w:lineRule="auto"/>
      <w:ind w:left="10" w:hanging="10"/>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187" w:line="259" w:lineRule="auto"/>
      <w:ind w:left="10" w:hanging="10"/>
      <w:outlineLvl w:val="1"/>
    </w:pPr>
    <w:rPr>
      <w:rFonts w:ascii="Open Sans" w:eastAsia="Open Sans" w:hAnsi="Open Sans" w:cs="Open Sans"/>
      <w:b/>
      <w:color w:val="000000"/>
      <w:sz w:val="22"/>
    </w:rPr>
  </w:style>
  <w:style w:type="paragraph" w:styleId="Heading3">
    <w:name w:val="heading 3"/>
    <w:next w:val="Normal"/>
    <w:link w:val="Heading3Char"/>
    <w:uiPriority w:val="9"/>
    <w:unhideWhenUsed/>
    <w:qFormat/>
    <w:pPr>
      <w:keepNext/>
      <w:keepLines/>
      <w:spacing w:after="187" w:line="259" w:lineRule="auto"/>
      <w:ind w:left="10" w:hanging="10"/>
      <w:outlineLvl w:val="2"/>
    </w:pPr>
    <w:rPr>
      <w:rFonts w:ascii="Open Sans" w:eastAsia="Open Sans" w:hAnsi="Open Sans" w:cs="Open Sans"/>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Open Sans" w:eastAsia="Open Sans" w:hAnsi="Open Sans" w:cs="Open Sans"/>
      <w:b/>
      <w:color w:val="000000"/>
      <w:sz w:val="22"/>
    </w:rPr>
  </w:style>
  <w:style w:type="character" w:customStyle="1" w:styleId="Heading1Char">
    <w:name w:val="Heading 1 Char"/>
    <w:link w:val="Heading1"/>
    <w:rPr>
      <w:rFonts w:ascii="Calibri" w:eastAsia="Calibri" w:hAnsi="Calibri" w:cs="Calibri"/>
      <w:b/>
      <w:color w:val="000000"/>
      <w:sz w:val="28"/>
    </w:rPr>
  </w:style>
  <w:style w:type="character" w:customStyle="1" w:styleId="Heading2Char">
    <w:name w:val="Heading 2 Char"/>
    <w:link w:val="Heading2"/>
    <w:rPr>
      <w:rFonts w:ascii="Open Sans" w:eastAsia="Open Sans" w:hAnsi="Open Sans" w:cs="Open Sans"/>
      <w:b/>
      <w:color w:val="000000"/>
      <w:sz w:val="22"/>
    </w:rPr>
  </w:style>
  <w:style w:type="paragraph" w:styleId="TOC1">
    <w:name w:val="toc 1"/>
    <w:hidden/>
    <w:pPr>
      <w:spacing w:after="194" w:line="259" w:lineRule="auto"/>
      <w:ind w:left="25" w:right="15" w:hanging="10"/>
    </w:pPr>
    <w:rPr>
      <w:rFonts w:ascii="Calibri" w:eastAsia="Calibri" w:hAnsi="Calibri" w:cs="Calibri"/>
      <w:b/>
      <w:color w:val="000000"/>
    </w:rPr>
  </w:style>
  <w:style w:type="paragraph" w:styleId="TOC2">
    <w:name w:val="toc 2"/>
    <w:hidden/>
    <w:pPr>
      <w:spacing w:after="40" w:line="259" w:lineRule="auto"/>
      <w:ind w:left="385" w:right="23" w:hanging="10"/>
    </w:pPr>
    <w:rPr>
      <w:rFonts w:ascii="Calibri" w:eastAsia="Calibri" w:hAnsi="Calibri" w:cs="Calibri"/>
      <w:color w:val="000000"/>
    </w:rPr>
  </w:style>
  <w:style w:type="paragraph" w:styleId="ListParagraph">
    <w:name w:val="List Paragraph"/>
    <w:basedOn w:val="Normal"/>
    <w:uiPriority w:val="34"/>
    <w:qFormat/>
    <w:rsid w:val="00BF1006"/>
    <w:pPr>
      <w:ind w:left="720"/>
      <w:contextualSpacing/>
    </w:pPr>
  </w:style>
  <w:style w:type="character" w:styleId="Hyperlink">
    <w:name w:val="Hyperlink"/>
    <w:basedOn w:val="DefaultParagraphFont"/>
    <w:uiPriority w:val="99"/>
    <w:unhideWhenUsed/>
    <w:rsid w:val="00BF1006"/>
    <w:rPr>
      <w:color w:val="0563C1" w:themeColor="hyperlink"/>
      <w:u w:val="single"/>
    </w:rPr>
  </w:style>
  <w:style w:type="character" w:styleId="UnresolvedMention">
    <w:name w:val="Unresolved Mention"/>
    <w:basedOn w:val="DefaultParagraphFont"/>
    <w:uiPriority w:val="99"/>
    <w:semiHidden/>
    <w:unhideWhenUsed/>
    <w:rsid w:val="00BF1006"/>
    <w:rPr>
      <w:color w:val="605E5C"/>
      <w:shd w:val="clear" w:color="auto" w:fill="E1DFDD"/>
    </w:rPr>
  </w:style>
  <w:style w:type="paragraph" w:styleId="Footer">
    <w:name w:val="footer"/>
    <w:basedOn w:val="Normal"/>
    <w:link w:val="FooterChar"/>
    <w:uiPriority w:val="99"/>
    <w:unhideWhenUsed/>
    <w:rsid w:val="00BF10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006"/>
    <w:rPr>
      <w:rFonts w:ascii="Open Sans" w:eastAsia="Open Sans" w:hAnsi="Open Sans" w:cs="Open Sans"/>
      <w:color w:val="000000"/>
      <w:sz w:val="22"/>
    </w:rPr>
  </w:style>
  <w:style w:type="character" w:styleId="PageNumber">
    <w:name w:val="page number"/>
    <w:basedOn w:val="DefaultParagraphFont"/>
    <w:uiPriority w:val="99"/>
    <w:semiHidden/>
    <w:unhideWhenUsed/>
    <w:rsid w:val="00BF1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398815/SEND_Code_of_Practice_January_2015.pdf" TargetMode="Externa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si/2014/1530/contents/mad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legislation.gov.uk/ukpga/2014/6/part/3" TargetMode="Externa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https://www.gov.uk/government/uploads/system/uploads/attachment_data/file/398815/SEND_Code_of_Practice_January_2015.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1145</Words>
  <Characters>6527</Characters>
  <Application>Microsoft Office Word</Application>
  <DocSecurity>0</DocSecurity>
  <Lines>54</Lines>
  <Paragraphs>15</Paragraphs>
  <ScaleCrop>false</ScaleCrop>
  <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Educational Needs and Disability</dc:title>
  <dc:subject/>
  <dc:creator>Sue Beauchamp</dc:creator>
  <cp:keywords/>
  <cp:lastModifiedBy>Kate Middleton</cp:lastModifiedBy>
  <cp:revision>2</cp:revision>
  <dcterms:created xsi:type="dcterms:W3CDTF">2024-01-03T11:19:00Z</dcterms:created>
  <dcterms:modified xsi:type="dcterms:W3CDTF">2024-01-03T11:19:00Z</dcterms:modified>
</cp:coreProperties>
</file>